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DD39886"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D5C4E">
        <w:rPr>
          <w:rFonts w:ascii="Arial" w:hAnsi="Arial" w:cs="Arial"/>
          <w:b/>
          <w:lang w:val="de-DE"/>
        </w:rPr>
        <w:t>98 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FB225C">
        <w:rPr>
          <w:rFonts w:ascii="Arial" w:hAnsi="Arial" w:cs="Arial"/>
          <w:b/>
          <w:bCs/>
        </w:rPr>
        <w:t>1</w:t>
      </w:r>
      <w:r w:rsidR="0035568A" w:rsidRPr="00FB225C">
        <w:rPr>
          <w:rFonts w:ascii="Arial" w:hAnsi="Arial" w:cs="Arial"/>
          <w:b/>
          <w:bCs/>
        </w:rPr>
        <w:t>9</w:t>
      </w:r>
      <w:r w:rsidR="00F4381A">
        <w:rPr>
          <w:rFonts w:ascii="Arial" w:hAnsi="Arial" w:cs="Arial"/>
          <w:b/>
          <w:bCs/>
        </w:rPr>
        <w:t>10955</w:t>
      </w:r>
      <w:r w:rsidR="00F93EB0">
        <w:rPr>
          <w:rFonts w:ascii="Arial" w:hAnsi="Arial" w:cs="Arial"/>
          <w:b/>
          <w:lang w:val="de-DE"/>
        </w:rPr>
        <w:br/>
      </w:r>
      <w:r w:rsidR="009C089D" w:rsidRPr="004F797F">
        <w:rPr>
          <w:rFonts w:ascii="Arial" w:hAnsi="Arial" w:cs="Arial"/>
          <w:b/>
        </w:rPr>
        <w:t>Chongqing</w:t>
      </w:r>
      <w:r w:rsidR="00A5232D" w:rsidRPr="004F797F">
        <w:rPr>
          <w:rFonts w:ascii="Arial" w:hAnsi="Arial" w:cs="Arial"/>
          <w:b/>
        </w:rPr>
        <w:t xml:space="preserve">, </w:t>
      </w:r>
      <w:r w:rsidR="00E05124" w:rsidRPr="004F797F">
        <w:rPr>
          <w:rFonts w:ascii="Arial" w:hAnsi="Arial" w:cs="Arial"/>
          <w:b/>
        </w:rPr>
        <w:t>C</w:t>
      </w:r>
      <w:r w:rsidR="009C089D" w:rsidRPr="004F797F">
        <w:rPr>
          <w:rFonts w:ascii="Arial" w:hAnsi="Arial" w:cs="Arial"/>
          <w:b/>
        </w:rPr>
        <w:t>hina</w:t>
      </w:r>
      <w:r w:rsidR="003B1600" w:rsidRPr="004F797F">
        <w:rPr>
          <w:rFonts w:ascii="Arial" w:hAnsi="Arial" w:cs="Arial"/>
          <w:b/>
        </w:rPr>
        <w:t xml:space="preserve">, </w:t>
      </w:r>
      <w:r w:rsidR="009C089D" w:rsidRPr="004F797F">
        <w:rPr>
          <w:rFonts w:ascii="Arial" w:hAnsi="Arial" w:cs="Arial"/>
          <w:b/>
        </w:rPr>
        <w:t>October</w:t>
      </w:r>
      <w:r w:rsidR="00BB67C9" w:rsidRPr="004F797F">
        <w:rPr>
          <w:rFonts w:ascii="Arial" w:hAnsi="Arial" w:cs="Arial"/>
          <w:b/>
        </w:rPr>
        <w:t xml:space="preserve"> </w:t>
      </w:r>
      <w:r w:rsidR="004F797F" w:rsidRPr="004F797F">
        <w:rPr>
          <w:rFonts w:ascii="Arial" w:hAnsi="Arial" w:cs="Arial"/>
          <w:b/>
        </w:rPr>
        <w:t>14</w:t>
      </w:r>
      <w:r w:rsidR="00BB67C9" w:rsidRPr="004F797F">
        <w:rPr>
          <w:rFonts w:ascii="Arial" w:hAnsi="Arial" w:cs="Arial"/>
          <w:b/>
          <w:vertAlign w:val="superscript"/>
        </w:rPr>
        <w:t>th</w:t>
      </w:r>
      <w:r w:rsidR="00BB67C9" w:rsidRPr="004F797F">
        <w:rPr>
          <w:rFonts w:ascii="Arial" w:hAnsi="Arial" w:cs="Arial"/>
          <w:b/>
        </w:rPr>
        <w:t xml:space="preserve"> – </w:t>
      </w:r>
      <w:r w:rsidR="005C1821">
        <w:rPr>
          <w:rFonts w:ascii="Arial" w:hAnsi="Arial" w:cs="Arial"/>
          <w:b/>
        </w:rPr>
        <w:t>20</w:t>
      </w:r>
      <w:r w:rsidR="00BB67C9" w:rsidRPr="004F797F">
        <w:rPr>
          <w:rFonts w:ascii="Arial" w:hAnsi="Arial" w:cs="Arial"/>
          <w:b/>
          <w:vertAlign w:val="superscript"/>
        </w:rPr>
        <w:t>th</w:t>
      </w:r>
      <w:r w:rsidR="004D767B" w:rsidRPr="004F797F">
        <w:rPr>
          <w:rFonts w:ascii="Arial" w:hAnsi="Arial" w:cs="Arial"/>
          <w:b/>
        </w:rPr>
        <w:t>, 201</w:t>
      </w:r>
      <w:r w:rsidR="00AB5819" w:rsidRPr="004F797F">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2AA5A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AB5819">
        <w:rPr>
          <w:rFonts w:ascii="Arial" w:hAnsi="Arial" w:cs="Arial"/>
          <w:b/>
        </w:rPr>
        <w:t>.</w:t>
      </w:r>
      <w:r w:rsidR="00C75F36">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FF1A79D"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4B71C4" w:rsidRPr="00E018CC">
        <w:rPr>
          <w:rFonts w:ascii="Arial" w:hAnsi="Arial" w:cs="Arial"/>
          <w:b/>
        </w:rPr>
        <w:t xml:space="preserve">Discussion on </w:t>
      </w:r>
      <w:r w:rsidR="00C75F36">
        <w:rPr>
          <w:rFonts w:ascii="Arial" w:hAnsi="Arial" w:cs="Arial"/>
          <w:b/>
        </w:rPr>
        <w:t>2-step RACH procedure</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6D874041" w:rsidR="00F9796D" w:rsidRDefault="00F9796D" w:rsidP="004D5F68">
      <w:pPr>
        <w:spacing w:after="120"/>
        <w:rPr>
          <w:color w:val="000000" w:themeColor="text1"/>
          <w:sz w:val="20"/>
          <w:szCs w:val="20"/>
        </w:rPr>
      </w:pPr>
      <w:bookmarkStart w:id="2" w:name="_GoBack"/>
      <w:r w:rsidRPr="00AE228A">
        <w:rPr>
          <w:color w:val="000000" w:themeColor="text1"/>
          <w:sz w:val="20"/>
          <w:szCs w:val="20"/>
        </w:rPr>
        <w:t>RAN1#</w:t>
      </w:r>
      <w:r w:rsidR="007B3E9A">
        <w:rPr>
          <w:color w:val="000000" w:themeColor="text1"/>
          <w:sz w:val="20"/>
          <w:szCs w:val="20"/>
        </w:rPr>
        <w:t>9</w:t>
      </w:r>
      <w:r w:rsidR="00B508DF">
        <w:rPr>
          <w:color w:val="000000" w:themeColor="text1"/>
          <w:sz w:val="20"/>
          <w:szCs w:val="20"/>
        </w:rPr>
        <w:t>7</w:t>
      </w:r>
      <w:r w:rsidR="007B3E9A">
        <w:rPr>
          <w:color w:val="000000" w:themeColor="text1"/>
          <w:sz w:val="20"/>
          <w:szCs w:val="20"/>
        </w:rPr>
        <w:t xml:space="preserve"> </w:t>
      </w:r>
      <w:r w:rsidRPr="00AE228A">
        <w:rPr>
          <w:color w:val="000000" w:themeColor="text1"/>
          <w:sz w:val="20"/>
          <w:szCs w:val="20"/>
        </w:rPr>
        <w:t xml:space="preserve">meeting, the followings agreements and conclusions were reached </w:t>
      </w:r>
      <w:r w:rsidR="007B3E9A">
        <w:rPr>
          <w:color w:val="000000" w:themeColor="text1"/>
          <w:sz w:val="20"/>
          <w:szCs w:val="20"/>
        </w:rPr>
        <w:t xml:space="preserve">on 2-step RACH </w:t>
      </w:r>
      <w:r w:rsidR="00B508DF">
        <w:rPr>
          <w:color w:val="000000" w:themeColor="text1"/>
          <w:sz w:val="20"/>
          <w:szCs w:val="20"/>
        </w:rPr>
        <w:t>power control</w:t>
      </w:r>
      <w:r w:rsidR="00690106">
        <w:rPr>
          <w:color w:val="000000" w:themeColor="text1"/>
          <w:sz w:val="20"/>
          <w:szCs w:val="20"/>
        </w:rPr>
        <w:t xml:space="preserve"> </w:t>
      </w:r>
      <w:r w:rsidRPr="00AE228A">
        <w:rPr>
          <w:color w:val="000000" w:themeColor="text1"/>
          <w:sz w:val="20"/>
          <w:szCs w:val="20"/>
        </w:rPr>
        <w:t>[</w:t>
      </w:r>
      <w:r w:rsidR="007B3E9A">
        <w:rPr>
          <w:color w:val="000000" w:themeColor="text1"/>
          <w:sz w:val="20"/>
          <w:szCs w:val="20"/>
        </w:rPr>
        <w:t>1</w:t>
      </w:r>
      <w:r w:rsidRPr="00AE228A">
        <w:rPr>
          <w:color w:val="000000" w:themeColor="text1"/>
          <w:sz w:val="20"/>
          <w:szCs w:val="20"/>
        </w:rPr>
        <w:t>]</w:t>
      </w:r>
      <w:r w:rsidR="00690106">
        <w:rPr>
          <w:color w:val="000000" w:themeColor="text1"/>
          <w:sz w:val="20"/>
          <w:szCs w:val="20"/>
        </w:rPr>
        <w:t>.</w:t>
      </w:r>
    </w:p>
    <w:tbl>
      <w:tblPr>
        <w:tblStyle w:val="TableGrid"/>
        <w:tblW w:w="0" w:type="auto"/>
        <w:tblLook w:val="04A0" w:firstRow="1" w:lastRow="0" w:firstColumn="1" w:lastColumn="0" w:noHBand="0" w:noVBand="1"/>
      </w:tblPr>
      <w:tblGrid>
        <w:gridCol w:w="9629"/>
      </w:tblGrid>
      <w:tr w:rsidR="00AE228A" w14:paraId="672A3A85" w14:textId="77777777" w:rsidTr="00AE228A">
        <w:tc>
          <w:tcPr>
            <w:tcW w:w="9629" w:type="dxa"/>
          </w:tcPr>
          <w:bookmarkEnd w:id="2"/>
          <w:p w14:paraId="77B9E570" w14:textId="77777777" w:rsidR="00B508DF" w:rsidRPr="00D53DEF" w:rsidRDefault="00B508DF" w:rsidP="00B508DF">
            <w:pPr>
              <w:rPr>
                <w:sz w:val="20"/>
                <w:szCs w:val="20"/>
              </w:rPr>
            </w:pPr>
            <w:r w:rsidRPr="00D53DEF">
              <w:rPr>
                <w:sz w:val="20"/>
                <w:szCs w:val="20"/>
                <w:highlight w:val="green"/>
              </w:rPr>
              <w:t>Agreements</w:t>
            </w:r>
            <w:r w:rsidRPr="00D53DEF">
              <w:rPr>
                <w:sz w:val="20"/>
                <w:szCs w:val="20"/>
              </w:rPr>
              <w:t>:</w:t>
            </w:r>
          </w:p>
          <w:p w14:paraId="31A3F88B" w14:textId="77777777" w:rsidR="00B508DF" w:rsidRPr="00D53DEF" w:rsidRDefault="00B508DF" w:rsidP="00B508DF">
            <w:pPr>
              <w:numPr>
                <w:ilvl w:val="0"/>
                <w:numId w:val="20"/>
              </w:numPr>
              <w:snapToGrid w:val="0"/>
              <w:jc w:val="left"/>
              <w:rPr>
                <w:sz w:val="20"/>
                <w:szCs w:val="20"/>
              </w:rPr>
            </w:pPr>
            <w:r w:rsidRPr="00D53DEF">
              <w:rPr>
                <w:sz w:val="20"/>
                <w:szCs w:val="20"/>
              </w:rPr>
              <w:t>The proposals in 5.2.6 of R1-1907900 is agreed</w:t>
            </w:r>
          </w:p>
          <w:p w14:paraId="7A82B3E6" w14:textId="77777777" w:rsidR="00B508DF" w:rsidRPr="00D53DEF" w:rsidRDefault="00B508DF" w:rsidP="00B508DF">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33C82BB" w14:textId="77777777" w:rsidR="00B508DF" w:rsidRPr="00D53DEF" w:rsidRDefault="00B508DF" w:rsidP="00B508DF">
            <w:pPr>
              <w:rPr>
                <w:sz w:val="20"/>
                <w:szCs w:val="20"/>
              </w:rPr>
            </w:pPr>
            <w:bookmarkStart w:id="3" w:name="_Hlk8932679"/>
            <w:bookmarkStart w:id="4"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4370034B" w14:textId="77777777" w:rsidR="00B508DF" w:rsidRPr="00D53DEF" w:rsidRDefault="005F6669" w:rsidP="00B508DF">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3B3B3967" w14:textId="77777777" w:rsidR="00B508DF" w:rsidRPr="00D53DEF" w:rsidRDefault="005F6669" w:rsidP="00B508DF">
            <w:pPr>
              <w:pStyle w:val="ListParagraph"/>
              <w:numPr>
                <w:ilvl w:val="0"/>
                <w:numId w:val="16"/>
              </w:numPr>
              <w:snapToGrid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B508DF" w:rsidRPr="00D53DEF">
              <w:rPr>
                <w:rFonts w:eastAsiaTheme="minorHAnsi"/>
                <w:color w:val="000000"/>
                <w:sz w:val="20"/>
                <w:szCs w:val="20"/>
              </w:rPr>
              <w:t xml:space="preserve"> is </w:t>
            </w:r>
            <w:r w:rsidR="00B508DF" w:rsidRPr="00D53DEF">
              <w:rPr>
                <w:rFonts w:eastAsiaTheme="minorHAnsi"/>
                <w:sz w:val="20"/>
                <w:szCs w:val="20"/>
              </w:rPr>
              <w:t>an offset relative to the preamble received target power that could be configured for 2-step RACH.</w:t>
            </w:r>
            <w:r w:rsidR="00B508DF" w:rsidRPr="00D53DEF">
              <w:rPr>
                <w:rFonts w:eastAsiaTheme="minorHAnsi"/>
                <w:color w:val="000000"/>
                <w:kern w:val="24"/>
                <w:sz w:val="20"/>
                <w:szCs w:val="20"/>
              </w:rPr>
              <w:t xml:space="preserve"> </w:t>
            </w:r>
            <w:r w:rsidR="00B508DF" w:rsidRPr="00D53DEF">
              <w:rPr>
                <w:rFonts w:eastAsiaTheme="minorHAnsi"/>
                <w:sz w:val="20"/>
                <w:szCs w:val="20"/>
              </w:rPr>
              <w:t>If the offset parameter is absent, the parameter delta_preamble_msg3 of 4-step RACH is used.</w:t>
            </w:r>
          </w:p>
          <w:p w14:paraId="6A15F723" w14:textId="77777777" w:rsidR="00B508DF" w:rsidRPr="00D53DEF" w:rsidRDefault="00B508DF" w:rsidP="00B508DF">
            <w:pPr>
              <w:pStyle w:val="ListParagraph"/>
              <w:numPr>
                <w:ilvl w:val="0"/>
                <w:numId w:val="16"/>
              </w:numPr>
              <w:snapToGrid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67B6E7EF" w14:textId="77777777" w:rsidR="00B508DF" w:rsidRPr="00D53DEF" w:rsidRDefault="00B508DF" w:rsidP="00B508DF">
            <w:pPr>
              <w:pStyle w:val="ListParagraph"/>
              <w:numPr>
                <w:ilvl w:val="0"/>
                <w:numId w:val="16"/>
              </w:numPr>
              <w:snapToGrid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6EEC9D14" w14:textId="77777777" w:rsidR="00B508DF" w:rsidRPr="00D53DEF" w:rsidRDefault="00B508DF" w:rsidP="00B508DF">
            <w:pPr>
              <w:pStyle w:val="ListParagraph"/>
              <w:numPr>
                <w:ilvl w:val="1"/>
                <w:numId w:val="16"/>
              </w:numPr>
              <w:snapToGrid w:val="0"/>
              <w:jc w:val="left"/>
              <w:rPr>
                <w:rFonts w:eastAsiaTheme="minorHAnsi"/>
                <w:sz w:val="20"/>
                <w:szCs w:val="20"/>
              </w:rPr>
            </w:pPr>
            <w:r w:rsidRPr="00D53DEF">
              <w:rPr>
                <w:rFonts w:eastAsiaTheme="minorHAnsi"/>
                <w:sz w:val="20"/>
                <w:szCs w:val="20"/>
              </w:rPr>
              <w:t>FFS: cell-specific MsgA PUSCH alpha.</w:t>
            </w:r>
          </w:p>
          <w:p w14:paraId="0652FFA1" w14:textId="77777777" w:rsidR="00B508DF" w:rsidRPr="00D53DEF" w:rsidRDefault="00B508DF" w:rsidP="00B508DF">
            <w:pPr>
              <w:pStyle w:val="ListParagraph"/>
              <w:numPr>
                <w:ilvl w:val="0"/>
                <w:numId w:val="16"/>
              </w:numPr>
              <w:snapToGrid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3925849A" w14:textId="77777777" w:rsidR="00B508DF" w:rsidRPr="00D53DEF" w:rsidRDefault="00B508DF" w:rsidP="00B508DF">
            <w:pPr>
              <w:pStyle w:val="ListParagraph"/>
              <w:numPr>
                <w:ilvl w:val="0"/>
                <w:numId w:val="16"/>
              </w:numPr>
              <w:snapToGrid w:val="0"/>
              <w:jc w:val="left"/>
              <w:rPr>
                <w:rFonts w:eastAsiaTheme="minorHAnsi"/>
                <w:sz w:val="20"/>
                <w:szCs w:val="20"/>
              </w:rPr>
            </w:pPr>
            <w:r w:rsidRPr="00D53DEF">
              <w:rPr>
                <w:rFonts w:eastAsiaTheme="minorHAnsi"/>
                <w:sz w:val="20"/>
                <w:szCs w:val="20"/>
              </w:rPr>
              <w:t>The power ramping component is given by;</w:t>
            </w:r>
          </w:p>
          <w:p w14:paraId="6F5CDBDD" w14:textId="77777777" w:rsidR="00B508DF" w:rsidRPr="00D53DEF" w:rsidRDefault="005F6669" w:rsidP="00B508DF">
            <w:pPr>
              <w:pStyle w:val="ListParagraph"/>
              <w:ind w:left="80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w:p>
          <w:p w14:paraId="586B97E8" w14:textId="77777777" w:rsidR="00B508DF" w:rsidRPr="00D53DEF" w:rsidRDefault="00B508DF" w:rsidP="00B508DF">
            <w:pPr>
              <w:pStyle w:val="ListParagraph"/>
              <w:numPr>
                <w:ilvl w:val="1"/>
                <w:numId w:val="16"/>
              </w:numPr>
              <w:snapToGrid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32AF8B67" w14:textId="77777777" w:rsidR="00B508DF" w:rsidRPr="00D53DEF" w:rsidRDefault="00B508DF" w:rsidP="00B508DF">
            <w:pPr>
              <w:pStyle w:val="ListParagraph"/>
              <w:numPr>
                <w:ilvl w:val="1"/>
                <w:numId w:val="16"/>
              </w:numPr>
              <w:snapToGrid w:val="0"/>
              <w:jc w:val="left"/>
              <w:rPr>
                <w:rFonts w:eastAsiaTheme="minorHAnsi"/>
                <w:sz w:val="20"/>
                <w:szCs w:val="20"/>
              </w:rPr>
            </w:pPr>
            <w:r w:rsidRPr="00D53DEF">
              <w:rPr>
                <w:rFonts w:eastAsiaTheme="minorHAnsi"/>
                <w:sz w:val="20"/>
                <w:szCs w:val="20"/>
              </w:rPr>
              <w:t>Further study and down select from the following alternatives:</w:t>
            </w:r>
          </w:p>
          <w:p w14:paraId="1383CC62" w14:textId="77777777" w:rsidR="00B508DF" w:rsidRPr="00D53DEF" w:rsidRDefault="00B508DF" w:rsidP="00B508DF">
            <w:pPr>
              <w:pStyle w:val="ListParagraph"/>
              <w:numPr>
                <w:ilvl w:val="2"/>
                <w:numId w:val="16"/>
              </w:numPr>
              <w:snapToGrid w:val="0"/>
              <w:jc w:val="left"/>
              <w:rPr>
                <w:rFonts w:eastAsiaTheme="minorHAnsi"/>
                <w:sz w:val="20"/>
                <w:szCs w:val="20"/>
              </w:rPr>
            </w:pPr>
            <w:r w:rsidRPr="00D53DEF">
              <w:rPr>
                <w:rFonts w:eastAsiaTheme="minorHAnsi"/>
                <w:sz w:val="20"/>
                <w:szCs w:val="20"/>
              </w:rPr>
              <w:t>Alt1: Same ramp up for MsgA PUSCH and MsgA PRACH</w:t>
            </w:r>
          </w:p>
          <w:p w14:paraId="42447689" w14:textId="77777777" w:rsidR="00B508DF" w:rsidRPr="00D53DEF" w:rsidRDefault="00B508DF" w:rsidP="00B508DF">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578442AE" w14:textId="77777777" w:rsidR="00B508DF" w:rsidRPr="00D53DEF" w:rsidRDefault="00B508DF" w:rsidP="00B508DF">
            <w:pPr>
              <w:pStyle w:val="ListParagraph"/>
              <w:numPr>
                <w:ilvl w:val="3"/>
                <w:numId w:val="16"/>
              </w:numPr>
              <w:snapToGrid w:val="0"/>
              <w:jc w:val="left"/>
              <w:rPr>
                <w:rFonts w:eastAsiaTheme="minorHAnsi"/>
                <w:sz w:val="20"/>
                <w:szCs w:val="20"/>
              </w:rPr>
            </w:pPr>
            <w:r w:rsidRPr="00D53DEF">
              <w:rPr>
                <w:sz w:val="20"/>
                <w:szCs w:val="20"/>
              </w:rPr>
              <w:t>FFS: same power ramping counters for 2-step RACH MsgA PRACH and 4-step RACH Msg1.</w:t>
            </w:r>
          </w:p>
          <w:p w14:paraId="07FEF00C" w14:textId="77777777" w:rsidR="00B508DF" w:rsidRPr="00D53DEF" w:rsidRDefault="00B508DF" w:rsidP="00B508DF">
            <w:pPr>
              <w:pStyle w:val="ListParagraph"/>
              <w:numPr>
                <w:ilvl w:val="2"/>
                <w:numId w:val="16"/>
              </w:numPr>
              <w:snapToGrid w:val="0"/>
              <w:jc w:val="left"/>
              <w:rPr>
                <w:rFonts w:eastAsiaTheme="minorHAnsi"/>
                <w:sz w:val="20"/>
                <w:szCs w:val="20"/>
              </w:rPr>
            </w:pPr>
            <w:r w:rsidRPr="00D53DEF">
              <w:rPr>
                <w:rFonts w:eastAsiaTheme="minorHAnsi"/>
                <w:sz w:val="20"/>
                <w:szCs w:val="20"/>
              </w:rPr>
              <w:lastRenderedPageBreak/>
              <w:t>Alt 2: Separate ramp up for MsgA PUSCH and MsgA PRACH, with different counters</w:t>
            </w:r>
          </w:p>
          <w:p w14:paraId="5A4B9FE0" w14:textId="77777777" w:rsidR="00B508DF" w:rsidRPr="00D53DEF" w:rsidRDefault="00B508DF" w:rsidP="00B508DF">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224131F6" w14:textId="77777777" w:rsidR="00B508DF" w:rsidRPr="00D53DEF" w:rsidRDefault="00B508DF" w:rsidP="00B508DF">
            <w:pPr>
              <w:pStyle w:val="ListParagraph"/>
              <w:numPr>
                <w:ilvl w:val="2"/>
                <w:numId w:val="16"/>
              </w:numPr>
              <w:snapToGrid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3A267F30" w14:textId="77777777" w:rsidR="00B508DF" w:rsidRPr="00D53DEF" w:rsidRDefault="00B508DF" w:rsidP="00B508DF">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3"/>
          <w:bookmarkEnd w:id="4"/>
          <w:p w14:paraId="71EA1F96" w14:textId="77777777" w:rsidR="00B508DF" w:rsidRPr="00D53DEF" w:rsidRDefault="00B508DF" w:rsidP="00B508DF">
            <w:pPr>
              <w:rPr>
                <w:sz w:val="20"/>
                <w:szCs w:val="20"/>
              </w:rPr>
            </w:pPr>
            <w:r w:rsidRPr="00D53DEF">
              <w:rPr>
                <w:sz w:val="20"/>
                <w:szCs w:val="20"/>
                <w:highlight w:val="green"/>
              </w:rPr>
              <w:t>Agreements</w:t>
            </w:r>
            <w:r w:rsidRPr="00D53DEF">
              <w:rPr>
                <w:sz w:val="20"/>
                <w:szCs w:val="20"/>
              </w:rPr>
              <w:t>:</w:t>
            </w:r>
          </w:p>
          <w:p w14:paraId="6BF5903D" w14:textId="77777777" w:rsidR="00AE228A" w:rsidRDefault="00B508DF" w:rsidP="00B508DF">
            <w:pPr>
              <w:widowControl w:val="0"/>
              <w:numPr>
                <w:ilvl w:val="0"/>
                <w:numId w:val="13"/>
              </w:numPr>
              <w:snapToGrid w:val="0"/>
              <w:rPr>
                <w:rFonts w:eastAsia="DengXian"/>
                <w:kern w:val="2"/>
                <w:sz w:val="20"/>
                <w:szCs w:val="20"/>
                <w:lang w:eastAsia="zh-CN"/>
              </w:rPr>
            </w:pPr>
            <w:r w:rsidRPr="00D53DEF">
              <w:rPr>
                <w:rFonts w:eastAsia="DengXian"/>
                <w:kern w:val="2"/>
                <w:sz w:val="20"/>
                <w:szCs w:val="20"/>
                <w:lang w:eastAsia="zh-CN"/>
              </w:rPr>
              <w:t xml:space="preserve">RACH preamble power control parameters include: </w:t>
            </w:r>
            <w:r w:rsidRPr="00D53DEF">
              <w:rPr>
                <w:rFonts w:eastAsia="DengXian"/>
                <w:i/>
                <w:kern w:val="2"/>
                <w:sz w:val="20"/>
                <w:szCs w:val="20"/>
                <w:lang w:eastAsia="zh-CN"/>
              </w:rPr>
              <w:t>powerRampingStep</w:t>
            </w:r>
            <w:r w:rsidRPr="00D53DEF">
              <w:rPr>
                <w:rFonts w:eastAsia="DengXian"/>
                <w:kern w:val="2"/>
                <w:sz w:val="20"/>
                <w:szCs w:val="20"/>
                <w:lang w:eastAsia="zh-CN"/>
              </w:rPr>
              <w:t xml:space="preserve"> and </w:t>
            </w:r>
            <w:r w:rsidRPr="00D53DEF">
              <w:rPr>
                <w:rFonts w:eastAsia="DengXian"/>
                <w:i/>
                <w:kern w:val="2"/>
                <w:sz w:val="20"/>
                <w:szCs w:val="20"/>
                <w:lang w:eastAsia="zh-CN"/>
              </w:rPr>
              <w:t>preambleReceivedTargetPower</w:t>
            </w:r>
            <w:r w:rsidRPr="00D53DEF">
              <w:rPr>
                <w:rFonts w:eastAsia="DengXian"/>
                <w:kern w:val="2"/>
                <w:sz w:val="20"/>
                <w:szCs w:val="20"/>
                <w:lang w:eastAsia="zh-CN"/>
              </w:rPr>
              <w:t>.</w:t>
            </w:r>
          </w:p>
          <w:p w14:paraId="456C4F47" w14:textId="33EB7BB5" w:rsidR="00B508DF" w:rsidRPr="00B508DF" w:rsidRDefault="00B508DF" w:rsidP="00B508DF">
            <w:pPr>
              <w:widowControl w:val="0"/>
              <w:snapToGrid w:val="0"/>
              <w:ind w:left="720"/>
              <w:rPr>
                <w:rFonts w:eastAsia="DengXian"/>
                <w:kern w:val="2"/>
                <w:sz w:val="20"/>
                <w:szCs w:val="20"/>
                <w:lang w:eastAsia="zh-CN"/>
              </w:rPr>
            </w:pPr>
          </w:p>
        </w:tc>
      </w:tr>
    </w:tbl>
    <w:p w14:paraId="0926263F" w14:textId="25A42C9E" w:rsidR="002B642E" w:rsidRDefault="002B642E" w:rsidP="00487A13">
      <w:pPr>
        <w:jc w:val="both"/>
        <w:rPr>
          <w:rFonts w:eastAsia="MS Mincho"/>
          <w:lang w:eastAsia="ja-JP"/>
        </w:rPr>
      </w:pPr>
    </w:p>
    <w:p w14:paraId="64DD2315" w14:textId="79A70781" w:rsidR="00A44C2D" w:rsidRDefault="00A44C2D" w:rsidP="00A44C2D">
      <w:pPr>
        <w:spacing w:after="120"/>
        <w:jc w:val="both"/>
        <w:rPr>
          <w:rFonts w:eastAsia="MS Mincho"/>
          <w:sz w:val="20"/>
          <w:szCs w:val="20"/>
          <w:lang w:eastAsia="ja-JP"/>
        </w:rPr>
      </w:pPr>
      <w:r w:rsidRPr="00A44C2D">
        <w:rPr>
          <w:rFonts w:eastAsia="MS Mincho"/>
          <w:sz w:val="20"/>
          <w:szCs w:val="20"/>
          <w:lang w:eastAsia="ja-JP"/>
        </w:rPr>
        <w:t xml:space="preserve">In addition, </w:t>
      </w:r>
      <w:r w:rsidR="00A24414">
        <w:rPr>
          <w:rFonts w:eastAsia="MS Mincho"/>
          <w:sz w:val="20"/>
          <w:szCs w:val="20"/>
          <w:lang w:eastAsia="ja-JP"/>
        </w:rPr>
        <w:t>an in</w:t>
      </w:r>
      <w:r w:rsidR="00424295">
        <w:rPr>
          <w:rFonts w:eastAsia="MS Mincho"/>
          <w:sz w:val="20"/>
          <w:szCs w:val="20"/>
          <w:lang w:eastAsia="ja-JP"/>
        </w:rPr>
        <w:t>com</w:t>
      </w:r>
      <w:r w:rsidR="00A24414">
        <w:rPr>
          <w:rFonts w:eastAsia="MS Mincho"/>
          <w:sz w:val="20"/>
          <w:szCs w:val="20"/>
          <w:lang w:eastAsia="ja-JP"/>
        </w:rPr>
        <w:t>ing LS from RAN2[</w:t>
      </w:r>
      <w:r w:rsidR="001E15B3">
        <w:rPr>
          <w:rFonts w:eastAsia="MS Mincho"/>
          <w:sz w:val="20"/>
          <w:szCs w:val="20"/>
          <w:lang w:eastAsia="ja-JP"/>
        </w:rPr>
        <w:t>2</w:t>
      </w:r>
      <w:r w:rsidR="00A24414">
        <w:rPr>
          <w:rFonts w:eastAsia="MS Mincho"/>
          <w:sz w:val="20"/>
          <w:szCs w:val="20"/>
          <w:lang w:eastAsia="ja-JP"/>
        </w:rPr>
        <w:t>]</w:t>
      </w:r>
      <w:r w:rsidR="00424295">
        <w:rPr>
          <w:rFonts w:eastAsia="MS Mincho"/>
          <w:sz w:val="20"/>
          <w:szCs w:val="20"/>
          <w:lang w:eastAsia="ja-JP"/>
        </w:rPr>
        <w:t xml:space="preserve"> informs RAN1 the RAN2 agreements on 2-step RACH, it allows multiplexing successRARs of multiple UEs in </w:t>
      </w:r>
      <w:r w:rsidR="00513BBB">
        <w:rPr>
          <w:rFonts w:eastAsia="MS Mincho"/>
          <w:sz w:val="20"/>
          <w:szCs w:val="20"/>
          <w:lang w:eastAsia="ja-JP"/>
        </w:rPr>
        <w:t>Msg</w:t>
      </w:r>
      <w:r w:rsidR="00424295">
        <w:rPr>
          <w:rFonts w:eastAsia="MS Mincho"/>
          <w:sz w:val="20"/>
          <w:szCs w:val="20"/>
          <w:lang w:eastAsia="ja-JP"/>
        </w:rPr>
        <w:t xml:space="preserve">B in RAN2 design, and HARQ feedback for </w:t>
      </w:r>
      <w:r w:rsidR="00513BBB">
        <w:rPr>
          <w:rFonts w:eastAsia="MS Mincho"/>
          <w:sz w:val="20"/>
          <w:szCs w:val="20"/>
          <w:lang w:eastAsia="ja-JP"/>
        </w:rPr>
        <w:t>Msg</w:t>
      </w:r>
      <w:r w:rsidR="00424295">
        <w:rPr>
          <w:rFonts w:eastAsia="MS Mincho"/>
          <w:sz w:val="20"/>
          <w:szCs w:val="20"/>
          <w:lang w:eastAsia="ja-JP"/>
        </w:rPr>
        <w:t xml:space="preserve">B would be needed from RAN2 point of view. </w:t>
      </w:r>
      <w:r w:rsidR="005B18CF">
        <w:rPr>
          <w:rFonts w:eastAsia="MS Mincho"/>
          <w:sz w:val="20"/>
          <w:szCs w:val="20"/>
          <w:lang w:eastAsia="ja-JP"/>
        </w:rPr>
        <w:t xml:space="preserve">The relevant </w:t>
      </w:r>
      <w:r w:rsidR="00424295">
        <w:rPr>
          <w:rFonts w:eastAsia="MS Mincho"/>
          <w:sz w:val="20"/>
          <w:szCs w:val="20"/>
          <w:lang w:eastAsia="ja-JP"/>
        </w:rPr>
        <w:t>discussion</w:t>
      </w:r>
      <w:r w:rsidR="005B18CF">
        <w:rPr>
          <w:rFonts w:eastAsia="MS Mincho"/>
          <w:sz w:val="20"/>
          <w:szCs w:val="20"/>
          <w:lang w:eastAsia="ja-JP"/>
        </w:rPr>
        <w:t xml:space="preserve"> was carried out</w:t>
      </w:r>
      <w:r w:rsidR="00424295">
        <w:rPr>
          <w:rFonts w:eastAsia="MS Mincho"/>
          <w:sz w:val="20"/>
          <w:szCs w:val="20"/>
          <w:lang w:eastAsia="ja-JP"/>
        </w:rPr>
        <w:t xml:space="preserve"> </w:t>
      </w:r>
      <w:r w:rsidR="005B18CF">
        <w:rPr>
          <w:rFonts w:eastAsia="MS Mincho"/>
          <w:sz w:val="20"/>
          <w:szCs w:val="20"/>
          <w:lang w:eastAsia="ja-JP"/>
        </w:rPr>
        <w:t xml:space="preserve">in RAN1 email reflector. </w:t>
      </w:r>
    </w:p>
    <w:p w14:paraId="7DE787F1" w14:textId="1C057996" w:rsidR="00487A13" w:rsidRPr="00FB6A81" w:rsidRDefault="0074779C" w:rsidP="00A44C2D">
      <w:pPr>
        <w:spacing w:after="120"/>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424295">
        <w:rPr>
          <w:rFonts w:eastAsia="MS Mincho"/>
          <w:sz w:val="20"/>
          <w:szCs w:val="20"/>
          <w:lang w:eastAsia="ja-JP"/>
        </w:rPr>
        <w:t xml:space="preserve">HARQ-ACK feedback for </w:t>
      </w:r>
      <w:r w:rsidR="00513BBB">
        <w:rPr>
          <w:rFonts w:eastAsia="MS Mincho"/>
          <w:sz w:val="20"/>
          <w:szCs w:val="20"/>
          <w:lang w:eastAsia="ja-JP"/>
        </w:rPr>
        <w:t>Msg</w:t>
      </w:r>
      <w:r w:rsidR="00424295">
        <w:rPr>
          <w:rFonts w:eastAsia="MS Mincho"/>
          <w:sz w:val="20"/>
          <w:szCs w:val="20"/>
          <w:lang w:eastAsia="ja-JP"/>
        </w:rPr>
        <w:t xml:space="preserve">B and </w:t>
      </w:r>
      <w:r w:rsidR="003D47C1" w:rsidRPr="00FB6A81">
        <w:rPr>
          <w:rFonts w:eastAsia="MS Mincho"/>
          <w:sz w:val="20"/>
          <w:szCs w:val="20"/>
          <w:lang w:eastAsia="ja-JP"/>
        </w:rPr>
        <w:t>remaining issues</w:t>
      </w:r>
      <w:r w:rsidR="00194ACD" w:rsidRPr="00FB6A81">
        <w:rPr>
          <w:rFonts w:eastAsia="MS Mincho"/>
          <w:sz w:val="20"/>
          <w:szCs w:val="20"/>
          <w:lang w:eastAsia="ja-JP"/>
        </w:rPr>
        <w:t xml:space="preserve"> </w:t>
      </w:r>
      <w:r w:rsidR="00424295">
        <w:rPr>
          <w:rFonts w:eastAsia="MS Mincho"/>
          <w:sz w:val="20"/>
          <w:szCs w:val="20"/>
          <w:lang w:eastAsia="ja-JP"/>
        </w:rPr>
        <w:t xml:space="preserve">on </w:t>
      </w:r>
      <w:r w:rsidR="00513BBB">
        <w:rPr>
          <w:rFonts w:eastAsia="MS Mincho"/>
          <w:sz w:val="20"/>
          <w:szCs w:val="20"/>
          <w:lang w:eastAsia="ja-JP"/>
        </w:rPr>
        <w:t>Msg</w:t>
      </w:r>
      <w:r w:rsidR="00424295">
        <w:rPr>
          <w:rFonts w:eastAsia="MS Mincho"/>
          <w:sz w:val="20"/>
          <w:szCs w:val="20"/>
          <w:lang w:eastAsia="ja-JP"/>
        </w:rPr>
        <w:t>A power control</w:t>
      </w:r>
      <w:r w:rsidRPr="00FB6A81">
        <w:rPr>
          <w:rFonts w:eastAsia="MS Mincho"/>
          <w:sz w:val="20"/>
          <w:szCs w:val="20"/>
          <w:lang w:eastAsia="ja-JP"/>
        </w:rPr>
        <w:t>.</w:t>
      </w:r>
    </w:p>
    <w:p w14:paraId="06DB082A" w14:textId="033C91ED" w:rsidR="0051733F" w:rsidRDefault="0051733F" w:rsidP="00D03A8E">
      <w:pPr>
        <w:pStyle w:val="Heading1"/>
      </w:pPr>
      <w:r>
        <w:t>Discussion</w:t>
      </w:r>
      <w:r w:rsidR="00431659">
        <w:t xml:space="preserve"> on </w:t>
      </w:r>
      <w:r w:rsidR="00DF3E75">
        <w:t>MsgB HARQ feedback</w:t>
      </w:r>
    </w:p>
    <w:p w14:paraId="58989AFD" w14:textId="44560D59" w:rsidR="00C079E0" w:rsidRPr="00F0136E" w:rsidRDefault="00D03A8E" w:rsidP="00E90FD6">
      <w:pPr>
        <w:spacing w:after="120"/>
        <w:rPr>
          <w:color w:val="000000"/>
          <w:sz w:val="20"/>
          <w:szCs w:val="20"/>
          <w:lang w:eastAsia="ja-JP"/>
        </w:rPr>
      </w:pPr>
      <w:r>
        <w:rPr>
          <w:color w:val="000000"/>
          <w:sz w:val="20"/>
          <w:szCs w:val="20"/>
          <w:lang w:eastAsia="zh-CN"/>
        </w:rPr>
        <w:t>For the HARQ-ACK feedback</w:t>
      </w:r>
      <w:r w:rsidR="00435D92">
        <w:rPr>
          <w:color w:val="000000"/>
          <w:sz w:val="20"/>
          <w:szCs w:val="20"/>
          <w:lang w:eastAsia="zh-CN"/>
        </w:rPr>
        <w:t xml:space="preserve"> for MsgB</w:t>
      </w:r>
      <w:r>
        <w:rPr>
          <w:color w:val="000000"/>
          <w:sz w:val="20"/>
          <w:szCs w:val="20"/>
          <w:lang w:eastAsia="zh-CN"/>
        </w:rPr>
        <w:t xml:space="preserve">, </w:t>
      </w:r>
      <w:r w:rsidR="00591025">
        <w:rPr>
          <w:color w:val="000000"/>
          <w:sz w:val="20"/>
          <w:szCs w:val="20"/>
          <w:lang w:eastAsia="zh-CN"/>
        </w:rPr>
        <w:t xml:space="preserve">it’s </w:t>
      </w:r>
      <w:r>
        <w:rPr>
          <w:color w:val="000000"/>
          <w:sz w:val="20"/>
          <w:szCs w:val="20"/>
          <w:lang w:eastAsia="zh-CN"/>
        </w:rPr>
        <w:t>similar as the 4-step RACH, the HARQ-ACK feedback could be supported to save the MsgB re-transmission overhead</w:t>
      </w:r>
      <w:r w:rsidR="00591025">
        <w:rPr>
          <w:color w:val="000000"/>
          <w:sz w:val="20"/>
          <w:szCs w:val="20"/>
          <w:lang w:eastAsia="zh-CN"/>
        </w:rPr>
        <w:t xml:space="preserve">. </w:t>
      </w:r>
      <w:r w:rsidR="00733404" w:rsidRPr="00733404">
        <w:rPr>
          <w:color w:val="000000"/>
          <w:sz w:val="20"/>
          <w:szCs w:val="20"/>
          <w:lang w:eastAsia="ja-JP"/>
        </w:rPr>
        <w:t xml:space="preserve">If the MsgB PDCCH is addressed by common-RNTI, multiple successRARs </w:t>
      </w:r>
      <w:r w:rsidR="00733404">
        <w:rPr>
          <w:color w:val="000000"/>
          <w:sz w:val="20"/>
          <w:szCs w:val="20"/>
          <w:lang w:eastAsia="ja-JP"/>
        </w:rPr>
        <w:t xml:space="preserve">from </w:t>
      </w:r>
      <w:r w:rsidR="00733404" w:rsidRPr="00733404">
        <w:rPr>
          <w:color w:val="000000"/>
          <w:sz w:val="20"/>
          <w:szCs w:val="20"/>
          <w:lang w:eastAsia="ja-JP"/>
        </w:rPr>
        <w:t>different UEs can be multiplexed in one MsgB</w:t>
      </w:r>
      <w:r w:rsidR="00733404">
        <w:rPr>
          <w:color w:val="000000"/>
          <w:sz w:val="20"/>
          <w:szCs w:val="20"/>
          <w:lang w:eastAsia="ja-JP"/>
        </w:rPr>
        <w:t>, if UE detects the contention resolution ID in successRAR, it can send the HARQ-ACK to the network</w:t>
      </w:r>
      <w:r w:rsidR="00F0136E">
        <w:rPr>
          <w:color w:val="000000"/>
          <w:sz w:val="20"/>
          <w:szCs w:val="20"/>
          <w:lang w:eastAsia="ja-JP"/>
        </w:rPr>
        <w:t xml:space="preserve">, </w:t>
      </w:r>
      <w:r w:rsidR="00F0136E">
        <w:rPr>
          <w:color w:val="000000"/>
          <w:sz w:val="20"/>
          <w:szCs w:val="20"/>
          <w:lang w:eastAsia="zh-CN"/>
        </w:rPr>
        <w:t>c</w:t>
      </w:r>
      <w:r w:rsidR="00F0136E" w:rsidRPr="00F0136E">
        <w:rPr>
          <w:color w:val="000000"/>
          <w:sz w:val="20"/>
          <w:szCs w:val="20"/>
          <w:lang w:eastAsia="zh-CN"/>
        </w:rPr>
        <w:t xml:space="preserve">onsidering the PUCCH resource is only available when UE find its contention resolution ID in </w:t>
      </w:r>
      <w:r w:rsidR="00513BBB">
        <w:rPr>
          <w:color w:val="000000"/>
          <w:sz w:val="20"/>
          <w:szCs w:val="20"/>
          <w:lang w:eastAsia="zh-CN"/>
        </w:rPr>
        <w:t>M</w:t>
      </w:r>
      <w:r w:rsidR="00F0136E" w:rsidRPr="00F0136E">
        <w:rPr>
          <w:color w:val="000000"/>
          <w:sz w:val="20"/>
          <w:szCs w:val="20"/>
          <w:lang w:eastAsia="zh-CN"/>
        </w:rPr>
        <w:t>sgB</w:t>
      </w:r>
      <w:r w:rsidR="00435D92">
        <w:rPr>
          <w:color w:val="000000"/>
          <w:sz w:val="20"/>
          <w:szCs w:val="20"/>
          <w:lang w:eastAsia="zh-CN"/>
        </w:rPr>
        <w:t>, s</w:t>
      </w:r>
      <w:r w:rsidR="00F0136E" w:rsidRPr="00F0136E">
        <w:rPr>
          <w:color w:val="000000"/>
          <w:sz w:val="20"/>
          <w:szCs w:val="20"/>
          <w:lang w:eastAsia="zh-CN"/>
        </w:rPr>
        <w:t xml:space="preserve">o only ACK </w:t>
      </w:r>
      <w:r w:rsidR="00435D92">
        <w:rPr>
          <w:color w:val="000000"/>
          <w:sz w:val="20"/>
          <w:szCs w:val="20"/>
          <w:lang w:eastAsia="zh-CN"/>
        </w:rPr>
        <w:t xml:space="preserve">feedback </w:t>
      </w:r>
      <w:r w:rsidR="00F0136E" w:rsidRPr="00F0136E">
        <w:rPr>
          <w:color w:val="000000"/>
          <w:sz w:val="20"/>
          <w:szCs w:val="20"/>
          <w:lang w:eastAsia="zh-CN"/>
        </w:rPr>
        <w:t>is allowed</w:t>
      </w:r>
      <w:r w:rsidR="00733404">
        <w:rPr>
          <w:color w:val="000000"/>
          <w:sz w:val="20"/>
          <w:szCs w:val="20"/>
          <w:lang w:eastAsia="ja-JP"/>
        </w:rPr>
        <w:t>. If UE detect</w:t>
      </w:r>
      <w:r w:rsidR="00435D92">
        <w:rPr>
          <w:color w:val="000000"/>
          <w:sz w:val="20"/>
          <w:szCs w:val="20"/>
          <w:lang w:eastAsia="ja-JP"/>
        </w:rPr>
        <w:t>s</w:t>
      </w:r>
      <w:r w:rsidR="00733404">
        <w:rPr>
          <w:color w:val="000000"/>
          <w:sz w:val="20"/>
          <w:szCs w:val="20"/>
          <w:lang w:eastAsia="ja-JP"/>
        </w:rPr>
        <w:t xml:space="preserve"> the PDCCH for MsgB scrambling with C-RNTI, it’s natural the UE provide</w:t>
      </w:r>
      <w:r w:rsidR="00ED0544">
        <w:rPr>
          <w:color w:val="000000"/>
          <w:sz w:val="20"/>
          <w:szCs w:val="20"/>
          <w:lang w:eastAsia="ja-JP"/>
        </w:rPr>
        <w:t>s</w:t>
      </w:r>
      <w:r w:rsidR="00733404">
        <w:rPr>
          <w:color w:val="000000"/>
          <w:sz w:val="20"/>
          <w:szCs w:val="20"/>
          <w:lang w:eastAsia="ja-JP"/>
        </w:rPr>
        <w:t xml:space="preserve"> the HARQ feedback </w:t>
      </w:r>
      <w:r w:rsidR="00E90FD6">
        <w:rPr>
          <w:color w:val="000000"/>
          <w:sz w:val="20"/>
          <w:szCs w:val="20"/>
          <w:lang w:eastAsia="ja-JP"/>
        </w:rPr>
        <w:t>to indicate the correct reception of successRAR</w:t>
      </w:r>
      <w:r w:rsidR="00F0136E">
        <w:rPr>
          <w:color w:val="000000"/>
          <w:sz w:val="20"/>
          <w:szCs w:val="20"/>
          <w:lang w:eastAsia="ja-JP"/>
        </w:rPr>
        <w:t>.</w:t>
      </w:r>
    </w:p>
    <w:p w14:paraId="75BAF68B" w14:textId="2E390BB4" w:rsidR="00D03A8E" w:rsidRDefault="00733404" w:rsidP="00D03A8E">
      <w:pPr>
        <w:spacing w:after="120"/>
        <w:jc w:val="both"/>
        <w:rPr>
          <w:b/>
          <w:bCs/>
          <w:i/>
          <w:iCs/>
          <w:color w:val="000000"/>
          <w:sz w:val="20"/>
          <w:szCs w:val="20"/>
          <w:lang w:eastAsia="zh-CN"/>
        </w:rPr>
      </w:pPr>
      <w:r w:rsidRPr="00733404">
        <w:rPr>
          <w:b/>
          <w:bCs/>
          <w:i/>
          <w:iCs/>
          <w:color w:val="000000"/>
          <w:sz w:val="20"/>
          <w:szCs w:val="20"/>
          <w:lang w:eastAsia="zh-CN"/>
        </w:rPr>
        <w:t xml:space="preserve">Proposal 1: </w:t>
      </w:r>
      <w:r w:rsidR="00D03A8E" w:rsidRPr="00733404">
        <w:rPr>
          <w:b/>
          <w:bCs/>
          <w:i/>
          <w:iCs/>
          <w:color w:val="000000"/>
          <w:sz w:val="20"/>
          <w:szCs w:val="20"/>
          <w:lang w:eastAsia="zh-CN"/>
        </w:rPr>
        <w:t>If UE detect</w:t>
      </w:r>
      <w:r w:rsidRPr="00733404">
        <w:rPr>
          <w:b/>
          <w:bCs/>
          <w:i/>
          <w:iCs/>
          <w:color w:val="000000"/>
          <w:sz w:val="20"/>
          <w:szCs w:val="20"/>
          <w:lang w:eastAsia="zh-CN"/>
        </w:rPr>
        <w:t>s</w:t>
      </w:r>
      <w:r w:rsidR="00D03A8E" w:rsidRPr="00733404">
        <w:rPr>
          <w:b/>
          <w:bCs/>
          <w:i/>
          <w:iCs/>
          <w:color w:val="000000"/>
          <w:sz w:val="20"/>
          <w:szCs w:val="20"/>
          <w:lang w:eastAsia="zh-CN"/>
        </w:rPr>
        <w:t xml:space="preserve"> the MsgB with C-RNTI, UE provide</w:t>
      </w:r>
      <w:r>
        <w:rPr>
          <w:b/>
          <w:bCs/>
          <w:i/>
          <w:iCs/>
          <w:color w:val="000000"/>
          <w:sz w:val="20"/>
          <w:szCs w:val="20"/>
          <w:lang w:eastAsia="zh-CN"/>
        </w:rPr>
        <w:t>s</w:t>
      </w:r>
      <w:r w:rsidR="00D03A8E" w:rsidRPr="00733404">
        <w:rPr>
          <w:b/>
          <w:bCs/>
          <w:i/>
          <w:iCs/>
          <w:color w:val="000000"/>
          <w:sz w:val="20"/>
          <w:szCs w:val="20"/>
          <w:lang w:eastAsia="zh-CN"/>
        </w:rPr>
        <w:t xml:space="preserve"> the HARA-ACK feedback</w:t>
      </w:r>
      <w:r w:rsidR="00C079E0">
        <w:rPr>
          <w:b/>
          <w:bCs/>
          <w:i/>
          <w:iCs/>
          <w:color w:val="000000"/>
          <w:sz w:val="20"/>
          <w:szCs w:val="20"/>
          <w:lang w:eastAsia="zh-CN"/>
        </w:rPr>
        <w:t>, including ACK or NACK</w:t>
      </w:r>
      <w:r w:rsidRPr="00733404">
        <w:rPr>
          <w:b/>
          <w:bCs/>
          <w:i/>
          <w:iCs/>
          <w:color w:val="000000"/>
          <w:sz w:val="20"/>
          <w:szCs w:val="20"/>
          <w:lang w:eastAsia="zh-CN"/>
        </w:rPr>
        <w:t xml:space="preserve">; </w:t>
      </w:r>
      <w:r w:rsidR="00D03A8E" w:rsidRPr="00733404">
        <w:rPr>
          <w:b/>
          <w:bCs/>
          <w:i/>
          <w:iCs/>
          <w:color w:val="000000"/>
          <w:sz w:val="20"/>
          <w:szCs w:val="20"/>
          <w:lang w:eastAsia="zh-CN"/>
        </w:rPr>
        <w:t>if UE detect</w:t>
      </w:r>
      <w:r w:rsidR="00417C24">
        <w:rPr>
          <w:b/>
          <w:bCs/>
          <w:i/>
          <w:iCs/>
          <w:color w:val="000000"/>
          <w:sz w:val="20"/>
          <w:szCs w:val="20"/>
          <w:lang w:eastAsia="zh-CN"/>
        </w:rPr>
        <w:t>s</w:t>
      </w:r>
      <w:r w:rsidR="00D03A8E" w:rsidRPr="00733404">
        <w:rPr>
          <w:b/>
          <w:bCs/>
          <w:i/>
          <w:iCs/>
          <w:color w:val="000000"/>
          <w:sz w:val="20"/>
          <w:szCs w:val="20"/>
          <w:lang w:eastAsia="zh-CN"/>
        </w:rPr>
        <w:t xml:space="preserve"> the contention resolution ID in </w:t>
      </w:r>
      <w:r w:rsidR="00513BBB">
        <w:rPr>
          <w:b/>
          <w:bCs/>
          <w:i/>
          <w:iCs/>
          <w:color w:val="000000"/>
          <w:sz w:val="20"/>
          <w:szCs w:val="20"/>
          <w:lang w:eastAsia="zh-CN"/>
        </w:rPr>
        <w:t>Msg</w:t>
      </w:r>
      <w:r w:rsidR="00D03A8E" w:rsidRPr="00733404">
        <w:rPr>
          <w:b/>
          <w:bCs/>
          <w:i/>
          <w:iCs/>
          <w:color w:val="000000"/>
          <w:sz w:val="20"/>
          <w:szCs w:val="20"/>
          <w:lang w:eastAsia="zh-CN"/>
        </w:rPr>
        <w:t>B with common-RNTI, UE should provide the ACK feedback</w:t>
      </w:r>
      <w:r w:rsidR="00F0136E">
        <w:rPr>
          <w:b/>
          <w:bCs/>
          <w:i/>
          <w:iCs/>
          <w:color w:val="000000"/>
          <w:sz w:val="20"/>
          <w:szCs w:val="20"/>
          <w:lang w:eastAsia="zh-CN"/>
        </w:rPr>
        <w:t>, otherwise NACK should not be sent</w:t>
      </w:r>
      <w:r w:rsidR="00D03A8E" w:rsidRPr="00733404">
        <w:rPr>
          <w:b/>
          <w:bCs/>
          <w:i/>
          <w:iCs/>
          <w:color w:val="000000"/>
          <w:sz w:val="20"/>
          <w:szCs w:val="20"/>
          <w:lang w:eastAsia="zh-CN"/>
        </w:rPr>
        <w:t>.</w:t>
      </w:r>
    </w:p>
    <w:p w14:paraId="0AAE0AD4" w14:textId="6D2AD8F2" w:rsidR="00ED0544" w:rsidRPr="00DC6A35" w:rsidRDefault="00ED0544" w:rsidP="00D03A8E">
      <w:pPr>
        <w:spacing w:after="120"/>
        <w:jc w:val="both"/>
        <w:rPr>
          <w:sz w:val="20"/>
          <w:szCs w:val="20"/>
          <w:lang w:eastAsia="ja-JP" w:bidi="hi-IN"/>
        </w:rPr>
      </w:pPr>
      <w:r>
        <w:rPr>
          <w:sz w:val="20"/>
          <w:szCs w:val="20"/>
          <w:lang w:eastAsia="ja-JP" w:bidi="hi-IN"/>
        </w:rPr>
        <w:t xml:space="preserve">For the PUCCH resource indication, </w:t>
      </w:r>
      <w:r w:rsidR="00606FF5">
        <w:rPr>
          <w:sz w:val="20"/>
          <w:szCs w:val="20"/>
          <w:lang w:eastAsia="ja-JP" w:bidi="hi-IN"/>
        </w:rPr>
        <w:t>if UE detects the MsgB with C-RNTI, the PUCCH resource is derived directly from the DCI. If UE detect</w:t>
      </w:r>
      <w:r w:rsidR="00435D92">
        <w:rPr>
          <w:sz w:val="20"/>
          <w:szCs w:val="20"/>
          <w:lang w:eastAsia="ja-JP" w:bidi="hi-IN"/>
        </w:rPr>
        <w:t>s</w:t>
      </w:r>
      <w:r w:rsidR="00606FF5">
        <w:rPr>
          <w:sz w:val="20"/>
          <w:szCs w:val="20"/>
          <w:lang w:eastAsia="ja-JP" w:bidi="hi-IN"/>
        </w:rPr>
        <w:t xml:space="preserve"> the contention resolution ID in MsgB with common-RNTI, </w:t>
      </w:r>
      <w:r>
        <w:rPr>
          <w:sz w:val="20"/>
          <w:szCs w:val="20"/>
          <w:lang w:eastAsia="ja-JP" w:bidi="hi-IN"/>
        </w:rPr>
        <w:t>it’s not practical to indicate the PUCCH resources of all the multiplexed UEs in one DCI, it will increase the DCI format size.</w:t>
      </w:r>
      <w:r w:rsidR="00B33E16">
        <w:rPr>
          <w:sz w:val="20"/>
          <w:szCs w:val="20"/>
          <w:lang w:eastAsia="ja-JP" w:bidi="hi-IN"/>
        </w:rPr>
        <w:t xml:space="preserve"> It’s </w:t>
      </w:r>
      <w:r w:rsidR="00DC6A35">
        <w:rPr>
          <w:sz w:val="20"/>
          <w:szCs w:val="20"/>
          <w:lang w:eastAsia="ja-JP" w:bidi="hi-IN"/>
        </w:rPr>
        <w:t>straight</w:t>
      </w:r>
      <w:r w:rsidR="00B33E16">
        <w:rPr>
          <w:sz w:val="20"/>
          <w:szCs w:val="20"/>
          <w:lang w:eastAsia="ja-JP" w:bidi="hi-IN"/>
        </w:rPr>
        <w:t xml:space="preserve"> forward to include the PUCCH resource indication info in the successRAR with the contention resolution ID</w:t>
      </w:r>
      <w:r w:rsidR="00DC6A35">
        <w:rPr>
          <w:sz w:val="20"/>
          <w:szCs w:val="20"/>
          <w:lang w:eastAsia="ja-JP" w:bidi="hi-IN"/>
        </w:rPr>
        <w:t xml:space="preserve">, </w:t>
      </w:r>
      <w:r w:rsidR="00C51278">
        <w:rPr>
          <w:sz w:val="20"/>
          <w:szCs w:val="20"/>
          <w:lang w:eastAsia="ja-JP" w:bidi="hi-IN"/>
        </w:rPr>
        <w:t xml:space="preserve">more specifically </w:t>
      </w:r>
      <w:r w:rsidR="00985BF7">
        <w:rPr>
          <w:sz w:val="20"/>
          <w:szCs w:val="20"/>
          <w:lang w:eastAsia="ja-JP" w:bidi="hi-IN"/>
        </w:rPr>
        <w:t xml:space="preserve">3bits </w:t>
      </w:r>
      <w:r w:rsidR="00DC6A35">
        <w:rPr>
          <w:sz w:val="20"/>
          <w:szCs w:val="20"/>
          <w:lang w:eastAsia="ja-JP" w:bidi="hi-IN"/>
        </w:rPr>
        <w:t>P</w:t>
      </w:r>
      <w:r w:rsidR="00D83F61">
        <w:rPr>
          <w:sz w:val="20"/>
          <w:szCs w:val="20"/>
          <w:lang w:eastAsia="ja-JP" w:bidi="hi-IN"/>
        </w:rPr>
        <w:t>UCCH resource indicat</w:t>
      </w:r>
      <w:r w:rsidR="00C51278">
        <w:rPr>
          <w:sz w:val="20"/>
          <w:szCs w:val="20"/>
          <w:lang w:eastAsia="ja-JP" w:bidi="hi-IN"/>
        </w:rPr>
        <w:t>or</w:t>
      </w:r>
      <w:r w:rsidR="00985BF7">
        <w:rPr>
          <w:sz w:val="20"/>
          <w:szCs w:val="20"/>
          <w:lang w:eastAsia="ja-JP" w:bidi="hi-IN"/>
        </w:rPr>
        <w:t xml:space="preserve"> field</w:t>
      </w:r>
      <w:r w:rsidR="00DC6A35">
        <w:rPr>
          <w:sz w:val="20"/>
          <w:szCs w:val="20"/>
          <w:lang w:eastAsia="ja-JP" w:bidi="hi-IN"/>
        </w:rPr>
        <w:t xml:space="preserve"> and </w:t>
      </w:r>
      <w:r w:rsidR="00985BF7">
        <w:rPr>
          <w:sz w:val="20"/>
          <w:szCs w:val="20"/>
          <w:lang w:eastAsia="ja-JP" w:bidi="hi-IN"/>
        </w:rPr>
        <w:t xml:space="preserve"> 3bits </w:t>
      </w:r>
      <w:r w:rsidR="00DC6A35" w:rsidRPr="00DC6A35">
        <w:rPr>
          <w:sz w:val="20"/>
          <w:szCs w:val="20"/>
        </w:rPr>
        <w:t>PDSCH-to-HARQ_feedback timing indicator</w:t>
      </w:r>
      <w:r w:rsidR="00B33E16" w:rsidRPr="00DC6A35">
        <w:rPr>
          <w:sz w:val="20"/>
          <w:szCs w:val="20"/>
          <w:lang w:eastAsia="ja-JP" w:bidi="hi-IN"/>
        </w:rPr>
        <w:t xml:space="preserve"> </w:t>
      </w:r>
      <w:r w:rsidR="00985BF7">
        <w:rPr>
          <w:sz w:val="20"/>
          <w:szCs w:val="20"/>
          <w:lang w:eastAsia="ja-JP" w:bidi="hi-IN"/>
        </w:rPr>
        <w:t xml:space="preserve">field </w:t>
      </w:r>
      <w:r w:rsidR="00C51278">
        <w:rPr>
          <w:sz w:val="20"/>
          <w:szCs w:val="20"/>
          <w:lang w:eastAsia="ja-JP" w:bidi="hi-IN"/>
        </w:rPr>
        <w:t xml:space="preserve">are included in sucessRAR, </w:t>
      </w:r>
      <w:r w:rsidR="00985BF7">
        <w:rPr>
          <w:sz w:val="20"/>
          <w:szCs w:val="20"/>
          <w:lang w:eastAsia="ja-JP" w:bidi="hi-IN"/>
        </w:rPr>
        <w:t xml:space="preserve">total 6bits overhead per UE is not the big issue for </w:t>
      </w:r>
      <w:r w:rsidR="00606FF5">
        <w:rPr>
          <w:sz w:val="20"/>
          <w:szCs w:val="20"/>
          <w:lang w:eastAsia="ja-JP" w:bidi="hi-IN"/>
        </w:rPr>
        <w:t>MsgB PDSCH</w:t>
      </w:r>
      <w:r w:rsidR="00985BF7">
        <w:rPr>
          <w:sz w:val="20"/>
          <w:szCs w:val="20"/>
          <w:lang w:eastAsia="ja-JP" w:bidi="hi-IN"/>
        </w:rPr>
        <w:t xml:space="preserve"> transmission</w:t>
      </w:r>
      <w:r w:rsidR="00606FF5">
        <w:rPr>
          <w:sz w:val="20"/>
          <w:szCs w:val="20"/>
          <w:lang w:eastAsia="ja-JP" w:bidi="hi-IN"/>
        </w:rPr>
        <w:t>, it’s not necessary to do any optimization.</w:t>
      </w:r>
    </w:p>
    <w:p w14:paraId="1A1CC5A1" w14:textId="62B77FC7" w:rsidR="00417C24" w:rsidRPr="00417C24" w:rsidRDefault="00606FF5" w:rsidP="00606FF5">
      <w:pPr>
        <w:spacing w:after="120"/>
        <w:jc w:val="both"/>
        <w:rPr>
          <w:b/>
          <w:bCs/>
          <w:i/>
          <w:iCs/>
          <w:color w:val="000000"/>
          <w:sz w:val="20"/>
          <w:szCs w:val="20"/>
          <w:lang w:eastAsia="zh-CN"/>
        </w:rPr>
      </w:pPr>
      <w:r w:rsidRPr="00733404">
        <w:rPr>
          <w:b/>
          <w:bCs/>
          <w:i/>
          <w:iCs/>
          <w:color w:val="000000"/>
          <w:sz w:val="20"/>
          <w:szCs w:val="20"/>
          <w:lang w:eastAsia="zh-CN"/>
        </w:rPr>
        <w:t xml:space="preserve">Proposal </w:t>
      </w:r>
      <w:r>
        <w:rPr>
          <w:b/>
          <w:bCs/>
          <w:i/>
          <w:iCs/>
          <w:color w:val="000000"/>
          <w:sz w:val="20"/>
          <w:szCs w:val="20"/>
          <w:lang w:eastAsia="zh-CN"/>
        </w:rPr>
        <w:t>2</w:t>
      </w:r>
      <w:r w:rsidRPr="00733404">
        <w:rPr>
          <w:b/>
          <w:bCs/>
          <w:i/>
          <w:iCs/>
          <w:color w:val="000000"/>
          <w:sz w:val="20"/>
          <w:szCs w:val="20"/>
          <w:lang w:eastAsia="zh-CN"/>
        </w:rPr>
        <w:t>:</w:t>
      </w:r>
      <w:r w:rsidR="00417C24">
        <w:rPr>
          <w:b/>
          <w:bCs/>
          <w:i/>
          <w:iCs/>
          <w:color w:val="000000"/>
          <w:sz w:val="20"/>
          <w:szCs w:val="20"/>
          <w:lang w:eastAsia="zh-CN"/>
        </w:rPr>
        <w:t xml:space="preserve"> I</w:t>
      </w:r>
      <w:r w:rsidRPr="00733404">
        <w:rPr>
          <w:b/>
          <w:bCs/>
          <w:i/>
          <w:iCs/>
          <w:color w:val="000000"/>
          <w:sz w:val="20"/>
          <w:szCs w:val="20"/>
          <w:lang w:eastAsia="zh-CN"/>
        </w:rPr>
        <w:t>f UE detect</w:t>
      </w:r>
      <w:r w:rsidR="00417C24">
        <w:rPr>
          <w:b/>
          <w:bCs/>
          <w:i/>
          <w:iCs/>
          <w:color w:val="000000"/>
          <w:sz w:val="20"/>
          <w:szCs w:val="20"/>
          <w:lang w:eastAsia="zh-CN"/>
        </w:rPr>
        <w:t>s</w:t>
      </w:r>
      <w:r w:rsidRPr="00733404">
        <w:rPr>
          <w:b/>
          <w:bCs/>
          <w:i/>
          <w:iCs/>
          <w:color w:val="000000"/>
          <w:sz w:val="20"/>
          <w:szCs w:val="20"/>
          <w:lang w:eastAsia="zh-CN"/>
        </w:rPr>
        <w:t xml:space="preserve"> the contention resolution ID in </w:t>
      </w:r>
      <w:r w:rsidR="00513BBB">
        <w:rPr>
          <w:b/>
          <w:bCs/>
          <w:i/>
          <w:iCs/>
          <w:color w:val="000000"/>
          <w:sz w:val="20"/>
          <w:szCs w:val="20"/>
          <w:lang w:eastAsia="zh-CN"/>
        </w:rPr>
        <w:t>Msg</w:t>
      </w:r>
      <w:r w:rsidRPr="00733404">
        <w:rPr>
          <w:b/>
          <w:bCs/>
          <w:i/>
          <w:iCs/>
          <w:color w:val="000000"/>
          <w:sz w:val="20"/>
          <w:szCs w:val="20"/>
          <w:lang w:eastAsia="zh-CN"/>
        </w:rPr>
        <w:t xml:space="preserve">B with common-RNTI, </w:t>
      </w:r>
      <w:r w:rsidR="00417C24">
        <w:rPr>
          <w:b/>
          <w:bCs/>
          <w:i/>
          <w:iCs/>
          <w:color w:val="000000"/>
          <w:sz w:val="20"/>
          <w:szCs w:val="20"/>
          <w:lang w:eastAsia="zh-CN"/>
        </w:rPr>
        <w:t>UE use</w:t>
      </w:r>
      <w:r w:rsidR="00435D92">
        <w:rPr>
          <w:b/>
          <w:bCs/>
          <w:i/>
          <w:iCs/>
          <w:color w:val="000000"/>
          <w:sz w:val="20"/>
          <w:szCs w:val="20"/>
          <w:lang w:eastAsia="zh-CN"/>
        </w:rPr>
        <w:t>s</w:t>
      </w:r>
      <w:r w:rsidR="00417C24">
        <w:rPr>
          <w:b/>
          <w:bCs/>
          <w:i/>
          <w:iCs/>
          <w:color w:val="000000"/>
          <w:sz w:val="20"/>
          <w:szCs w:val="20"/>
          <w:lang w:eastAsia="zh-CN"/>
        </w:rPr>
        <w:t xml:space="preserve"> </w:t>
      </w:r>
      <w:r w:rsidR="00417C24" w:rsidRPr="00417C24">
        <w:rPr>
          <w:b/>
          <w:bCs/>
          <w:i/>
          <w:iCs/>
          <w:sz w:val="20"/>
          <w:szCs w:val="20"/>
          <w:lang w:eastAsia="ja-JP" w:bidi="hi-IN"/>
        </w:rPr>
        <w:t xml:space="preserve">PUCCH resource indicator field and </w:t>
      </w:r>
      <w:r w:rsidR="00417C24" w:rsidRPr="00417C24">
        <w:rPr>
          <w:b/>
          <w:bCs/>
          <w:i/>
          <w:iCs/>
          <w:sz w:val="20"/>
          <w:szCs w:val="20"/>
        </w:rPr>
        <w:t>PDSCH-to-HARQ_feedback timing indicator</w:t>
      </w:r>
      <w:r w:rsidR="00417C24" w:rsidRPr="00417C24">
        <w:rPr>
          <w:b/>
          <w:bCs/>
          <w:i/>
          <w:iCs/>
          <w:sz w:val="20"/>
          <w:szCs w:val="20"/>
          <w:lang w:eastAsia="ja-JP" w:bidi="hi-IN"/>
        </w:rPr>
        <w:t xml:space="preserve"> field in successRAR to determine the resource for PUCCH transmission.</w:t>
      </w:r>
    </w:p>
    <w:p w14:paraId="5196C9AA" w14:textId="1D1369C7" w:rsidR="00F97BDB" w:rsidRDefault="00637BE6" w:rsidP="00637BE6">
      <w:pPr>
        <w:spacing w:after="120"/>
        <w:jc w:val="both"/>
        <w:rPr>
          <w:color w:val="000000"/>
          <w:sz w:val="20"/>
          <w:szCs w:val="20"/>
          <w:lang w:eastAsia="ja-JP"/>
        </w:rPr>
      </w:pPr>
      <w:r w:rsidRPr="00637BE6">
        <w:rPr>
          <w:sz w:val="20"/>
          <w:szCs w:val="20"/>
          <w:lang w:eastAsia="ja-JP" w:bidi="hi-IN"/>
        </w:rPr>
        <w:t xml:space="preserve">For </w:t>
      </w:r>
      <w:r>
        <w:rPr>
          <w:sz w:val="20"/>
          <w:szCs w:val="20"/>
        </w:rPr>
        <w:t>s</w:t>
      </w:r>
      <w:r w:rsidRPr="00637BE6">
        <w:rPr>
          <w:sz w:val="20"/>
          <w:szCs w:val="20"/>
        </w:rPr>
        <w:t xml:space="preserve">oft </w:t>
      </w:r>
      <w:r w:rsidR="00BA7FF0">
        <w:rPr>
          <w:sz w:val="20"/>
          <w:szCs w:val="20"/>
        </w:rPr>
        <w:t>c</w:t>
      </w:r>
      <w:r w:rsidRPr="00637BE6">
        <w:rPr>
          <w:sz w:val="20"/>
          <w:szCs w:val="20"/>
        </w:rPr>
        <w:t>ombining for MsgB retransmissions</w:t>
      </w:r>
      <w:r>
        <w:rPr>
          <w:sz w:val="20"/>
          <w:szCs w:val="20"/>
        </w:rPr>
        <w:t xml:space="preserve">, </w:t>
      </w:r>
      <w:r>
        <w:rPr>
          <w:color w:val="000000"/>
          <w:sz w:val="20"/>
          <w:szCs w:val="20"/>
          <w:lang w:eastAsia="ja-JP"/>
        </w:rPr>
        <w:t>i</w:t>
      </w:r>
      <w:r w:rsidRPr="00637BE6">
        <w:rPr>
          <w:color w:val="000000"/>
          <w:sz w:val="20"/>
          <w:szCs w:val="20"/>
          <w:lang w:eastAsia="ja-JP"/>
        </w:rPr>
        <w:t>f MsgB PDCCH is addressed by C-RNTI, MsgB only contains one user, the re-transmission can be soft combined by the UE</w:t>
      </w:r>
      <w:r>
        <w:rPr>
          <w:color w:val="000000"/>
          <w:sz w:val="20"/>
          <w:szCs w:val="20"/>
          <w:lang w:eastAsia="ja-JP"/>
        </w:rPr>
        <w:t xml:space="preserve">. </w:t>
      </w:r>
      <w:r w:rsidR="009C614B">
        <w:rPr>
          <w:color w:val="000000"/>
          <w:sz w:val="20"/>
          <w:szCs w:val="20"/>
          <w:lang w:eastAsia="ja-JP"/>
        </w:rPr>
        <w:t xml:space="preserve">If the MsgB PDCCH is addressed by common-RNTI, </w:t>
      </w:r>
      <w:r w:rsidR="001D24AD">
        <w:rPr>
          <w:color w:val="000000"/>
          <w:sz w:val="20"/>
          <w:szCs w:val="20"/>
          <w:lang w:eastAsia="ja-JP"/>
        </w:rPr>
        <w:t xml:space="preserve">it’s the rare case that </w:t>
      </w:r>
      <w:r w:rsidR="00F97BDB">
        <w:rPr>
          <w:color w:val="000000"/>
          <w:sz w:val="20"/>
          <w:szCs w:val="20"/>
          <w:lang w:eastAsia="ja-JP"/>
        </w:rPr>
        <w:t>no HAQR-ACK feedback is sent by all multiplexed U</w:t>
      </w:r>
      <w:r w:rsidR="001D24AD">
        <w:rPr>
          <w:color w:val="000000"/>
          <w:sz w:val="20"/>
          <w:szCs w:val="20"/>
          <w:lang w:eastAsia="ja-JP"/>
        </w:rPr>
        <w:t>Es.</w:t>
      </w:r>
      <w:r w:rsidR="00F97BDB">
        <w:rPr>
          <w:color w:val="000000"/>
          <w:sz w:val="20"/>
          <w:szCs w:val="20"/>
          <w:lang w:eastAsia="ja-JP"/>
        </w:rPr>
        <w:t xml:space="preserve"> </w:t>
      </w:r>
      <w:r w:rsidR="001D24AD">
        <w:rPr>
          <w:color w:val="000000"/>
          <w:sz w:val="20"/>
          <w:szCs w:val="20"/>
          <w:lang w:eastAsia="ja-JP"/>
        </w:rPr>
        <w:t>I</w:t>
      </w:r>
      <w:r w:rsidR="00F97BDB">
        <w:rPr>
          <w:color w:val="000000"/>
          <w:sz w:val="20"/>
          <w:szCs w:val="20"/>
          <w:lang w:eastAsia="ja-JP"/>
        </w:rPr>
        <w:t>f some UEs send the HARQ-ACK feedback, but the network decides</w:t>
      </w:r>
      <w:r w:rsidR="001D24AD">
        <w:rPr>
          <w:color w:val="000000"/>
          <w:sz w:val="20"/>
          <w:szCs w:val="20"/>
          <w:lang w:eastAsia="ja-JP"/>
        </w:rPr>
        <w:t xml:space="preserve"> to</w:t>
      </w:r>
      <w:r w:rsidR="00F97BDB">
        <w:rPr>
          <w:color w:val="000000"/>
          <w:sz w:val="20"/>
          <w:szCs w:val="20"/>
          <w:lang w:eastAsia="ja-JP"/>
        </w:rPr>
        <w:t xml:space="preserve"> re-transmit the whole MsgB </w:t>
      </w:r>
      <w:r w:rsidR="001D24AD">
        <w:rPr>
          <w:color w:val="000000"/>
          <w:sz w:val="20"/>
          <w:szCs w:val="20"/>
          <w:lang w:eastAsia="ja-JP"/>
        </w:rPr>
        <w:t>for soft combing purpose, it’s not the efficient way to utilize the resource.</w:t>
      </w:r>
    </w:p>
    <w:p w14:paraId="2D9DEFA5" w14:textId="7F66D9A9" w:rsidR="001D24AD" w:rsidRPr="001D24AD" w:rsidRDefault="001D24AD" w:rsidP="00637BE6">
      <w:pPr>
        <w:spacing w:after="120"/>
        <w:jc w:val="both"/>
        <w:rPr>
          <w:b/>
          <w:bCs/>
          <w:i/>
          <w:iCs/>
          <w:sz w:val="20"/>
          <w:szCs w:val="20"/>
        </w:rPr>
      </w:pPr>
      <w:r w:rsidRPr="001D24AD">
        <w:rPr>
          <w:b/>
          <w:bCs/>
          <w:i/>
          <w:iCs/>
          <w:color w:val="000000"/>
          <w:sz w:val="20"/>
          <w:szCs w:val="20"/>
          <w:lang w:eastAsia="zh-CN"/>
        </w:rPr>
        <w:t xml:space="preserve">Proposal 3: Soft combing is only valid for UE that </w:t>
      </w:r>
      <w:r w:rsidR="00513BBB">
        <w:rPr>
          <w:b/>
          <w:bCs/>
          <w:i/>
          <w:iCs/>
          <w:color w:val="000000"/>
          <w:sz w:val="20"/>
          <w:szCs w:val="20"/>
          <w:lang w:eastAsia="zh-CN"/>
        </w:rPr>
        <w:t>Msg</w:t>
      </w:r>
      <w:r w:rsidRPr="001D24AD">
        <w:rPr>
          <w:b/>
          <w:bCs/>
          <w:i/>
          <w:iCs/>
          <w:color w:val="000000"/>
          <w:sz w:val="20"/>
          <w:szCs w:val="20"/>
          <w:lang w:eastAsia="zh-CN"/>
        </w:rPr>
        <w:t>B</w:t>
      </w:r>
      <w:r>
        <w:rPr>
          <w:b/>
          <w:bCs/>
          <w:i/>
          <w:iCs/>
          <w:color w:val="000000"/>
          <w:sz w:val="20"/>
          <w:szCs w:val="20"/>
          <w:lang w:eastAsia="zh-CN"/>
        </w:rPr>
        <w:t xml:space="preserve"> PDCCH</w:t>
      </w:r>
      <w:r w:rsidRPr="001D24AD">
        <w:rPr>
          <w:b/>
          <w:bCs/>
          <w:i/>
          <w:iCs/>
          <w:color w:val="000000"/>
          <w:sz w:val="20"/>
          <w:szCs w:val="20"/>
          <w:lang w:eastAsia="zh-CN"/>
        </w:rPr>
        <w:t xml:space="preserve"> is addressed by C-RNTI, otherwise the soft combing is not supported.</w:t>
      </w:r>
    </w:p>
    <w:p w14:paraId="2C57FDF1" w14:textId="45737D72" w:rsidR="000C3296" w:rsidRDefault="00431659" w:rsidP="001E366E">
      <w:pPr>
        <w:pStyle w:val="Heading1"/>
      </w:pPr>
      <w:r>
        <w:t xml:space="preserve">Discussion on </w:t>
      </w:r>
      <w:r w:rsidR="000D0C83">
        <w:t>MsgA power control</w:t>
      </w:r>
    </w:p>
    <w:p w14:paraId="68584226" w14:textId="77777777" w:rsidR="000D0C83" w:rsidRDefault="000D0C83" w:rsidP="000D0C83">
      <w:pPr>
        <w:pStyle w:val="Heading2"/>
        <w:tabs>
          <w:tab w:val="clear" w:pos="567"/>
          <w:tab w:val="num" w:pos="576"/>
        </w:tabs>
        <w:spacing w:before="180"/>
        <w:ind w:left="576" w:hanging="576"/>
        <w:jc w:val="left"/>
      </w:pPr>
      <w:r>
        <w:t>Power control for MsgA PUSCH</w:t>
      </w:r>
    </w:p>
    <w:p w14:paraId="1CEE8CFD" w14:textId="77777777" w:rsidR="000D0C83" w:rsidRDefault="000D0C83" w:rsidP="000D0C83">
      <w:pPr>
        <w:pStyle w:val="0Maintext"/>
        <w:spacing w:after="120" w:afterAutospacing="0" w:line="240" w:lineRule="auto"/>
        <w:ind w:firstLine="0"/>
        <w:rPr>
          <w:lang w:val="en-US"/>
        </w:rPr>
      </w:pPr>
      <w:r>
        <w:rPr>
          <w:lang w:val="en-US"/>
        </w:rPr>
        <w:t>For MsgA PUSCH re-transmission, the following power control formula was agreed in previous meeting.</w:t>
      </w:r>
    </w:p>
    <w:p w14:paraId="06A38FF1" w14:textId="77777777" w:rsidR="000D0C83" w:rsidRPr="00D53DEF" w:rsidRDefault="005F6669" w:rsidP="000D0C83">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BD5D5B6" w14:textId="3DD75CE4" w:rsidR="000D0C83" w:rsidRDefault="000D0C83" w:rsidP="000D0C83">
      <w:pPr>
        <w:snapToGrid w:val="0"/>
        <w:spacing w:after="120"/>
        <w:rPr>
          <w:rFonts w:eastAsiaTheme="minorEastAsia"/>
          <w:sz w:val="20"/>
          <w:szCs w:val="20"/>
        </w:rPr>
      </w:pPr>
      <w:r>
        <w:rPr>
          <w:rFonts w:eastAsiaTheme="minorHAnsi"/>
          <w:sz w:val="20"/>
          <w:szCs w:val="20"/>
        </w:rPr>
        <w:t xml:space="preserve">In the above formula, the power ramping parameter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t>
        </m:r>
      </m:oMath>
      <w:r>
        <w:rPr>
          <w:rFonts w:eastAsiaTheme="minorHAnsi"/>
          <w:sz w:val="20"/>
          <w:szCs w:val="20"/>
        </w:rPr>
        <w:t xml:space="preserve"> is still open. There are three different alternatives as showing below table</w:t>
      </w:r>
      <w:r w:rsidR="00E90FD6">
        <w:rPr>
          <w:rFonts w:eastAsiaTheme="minorHAnsi"/>
          <w:sz w:val="20"/>
          <w:szCs w:val="20"/>
        </w:rPr>
        <w:t xml:space="preserve">. </w:t>
      </w:r>
      <w:r>
        <w:rPr>
          <w:rFonts w:eastAsiaTheme="minorHAnsi"/>
          <w:sz w:val="20"/>
          <w:szCs w:val="20"/>
        </w:rPr>
        <w:t xml:space="preserve">The parameter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Pr>
          <w:rFonts w:eastAsiaTheme="minorEastAsia"/>
          <w:sz w:val="20"/>
          <w:szCs w:val="20"/>
        </w:rPr>
        <w:t xml:space="preserve"> could impact the value of power ramping component, and it is determined by parameter power ramping counter and power ramping step. </w:t>
      </w:r>
    </w:p>
    <w:p w14:paraId="657473B1" w14:textId="4BE3299C" w:rsidR="000D0C83" w:rsidRPr="00362B9D" w:rsidRDefault="000D0C83" w:rsidP="000D0C83">
      <w:pPr>
        <w:pStyle w:val="ListParagraph"/>
        <w:numPr>
          <w:ilvl w:val="0"/>
          <w:numId w:val="9"/>
        </w:numPr>
        <w:snapToGrid w:val="0"/>
        <w:spacing w:after="120"/>
        <w:rPr>
          <w:rFonts w:eastAsiaTheme="minorHAnsi"/>
          <w:sz w:val="20"/>
          <w:szCs w:val="20"/>
        </w:rPr>
      </w:pPr>
      <w:r w:rsidRPr="00362B9D">
        <w:rPr>
          <w:rFonts w:eastAsiaTheme="minorEastAsia"/>
          <w:sz w:val="20"/>
          <w:szCs w:val="20"/>
        </w:rPr>
        <w:t xml:space="preserve">For power ramping counter, </w:t>
      </w:r>
      <w:r w:rsidRPr="00362B9D">
        <w:rPr>
          <w:rFonts w:eastAsiaTheme="minorHAnsi"/>
          <w:sz w:val="20"/>
          <w:szCs w:val="20"/>
        </w:rPr>
        <w:t xml:space="preserve">it’s natural the same power ramping counter is applied to both preamble and PUSCH, which is the same handling as </w:t>
      </w:r>
      <w:r w:rsidR="00513BBB">
        <w:rPr>
          <w:rFonts w:eastAsiaTheme="minorHAnsi"/>
          <w:sz w:val="20"/>
          <w:szCs w:val="20"/>
        </w:rPr>
        <w:t>M</w:t>
      </w:r>
      <w:r w:rsidRPr="00362B9D">
        <w:rPr>
          <w:rFonts w:eastAsiaTheme="minorHAnsi"/>
          <w:sz w:val="20"/>
          <w:szCs w:val="20"/>
        </w:rPr>
        <w:t>sg3. One reason to have separated power ramping parameter is different beams could be selected for preamble and PUSCH re-transmission. However, considering the transmission gap between preamble and PUSCH is really small, without sufficient time to do beam measurement again, UE has no reason to select different beams.</w:t>
      </w:r>
    </w:p>
    <w:p w14:paraId="3F873F91" w14:textId="77777777" w:rsidR="000D0C83" w:rsidRPr="00D76E90" w:rsidRDefault="000D0C83" w:rsidP="000D0C83">
      <w:pPr>
        <w:pStyle w:val="ListParagraph"/>
        <w:numPr>
          <w:ilvl w:val="0"/>
          <w:numId w:val="9"/>
        </w:numPr>
        <w:snapToGrid w:val="0"/>
        <w:spacing w:after="120"/>
        <w:rPr>
          <w:rFonts w:eastAsiaTheme="minorHAnsi"/>
          <w:sz w:val="20"/>
          <w:szCs w:val="20"/>
        </w:rPr>
      </w:pPr>
      <w:r w:rsidRPr="00B610CC">
        <w:rPr>
          <w:rFonts w:eastAsiaTheme="minorHAnsi"/>
          <w:sz w:val="20"/>
          <w:szCs w:val="20"/>
        </w:rPr>
        <w:t xml:space="preserve">For the parameter power ramping step, as showing in the above power control formula, the parameter </w:t>
      </w:r>
      <m:oMath>
        <m:sSub>
          <m:sSubPr>
            <m:ctrlPr>
              <w:rPr>
                <w:rFonts w:ascii="Cambria Math" w:eastAsiaTheme="minorEastAsia" w:hAnsi="Cambria Math" w:cstheme="minorBidi"/>
                <w:i/>
                <w:sz w:val="20"/>
                <w:szCs w:val="20"/>
              </w:rPr>
            </m:ctrlPr>
          </m:sSubPr>
          <m:e>
            <m:r>
              <w:rPr>
                <w:rFonts w:ascii="Cambria Math" w:eastAsiaTheme="minorEastAsia" w:hAnsi="Cambria Math" w:cstheme="minorBidi"/>
                <w:sz w:val="20"/>
                <w:szCs w:val="20"/>
              </w:rPr>
              <m:t>∆</m:t>
            </m:r>
          </m:e>
          <m:sub>
            <m:r>
              <w:rPr>
                <w:rFonts w:ascii="Cambria Math" w:eastAsiaTheme="minorEastAsia" w:hAnsi="Cambria Math" w:cstheme="minorBidi"/>
                <w:sz w:val="20"/>
                <w:szCs w:val="20"/>
              </w:rPr>
              <m:t>MsgA_PUSCH</m:t>
            </m:r>
          </m:sub>
        </m:sSub>
      </m:oMath>
      <w:r w:rsidRPr="00B610CC">
        <w:rPr>
          <w:rFonts w:eastAsiaTheme="minorEastAsia"/>
          <w:sz w:val="20"/>
          <w:szCs w:val="20"/>
        </w:rPr>
        <w:t xml:space="preserve"> already compensates the power difference between PUSCH and preamble for 2-step RACH, so </w:t>
      </w:r>
      <w:r>
        <w:rPr>
          <w:rFonts w:eastAsiaTheme="minorEastAsia"/>
          <w:sz w:val="20"/>
          <w:szCs w:val="20"/>
        </w:rPr>
        <w:t xml:space="preserve">it’s not necessary to adjust power ramping step again, same power ramping step is applied as preamble power ramping step in 2-step RACH. </w:t>
      </w:r>
    </w:p>
    <w:tbl>
      <w:tblPr>
        <w:tblStyle w:val="TableGrid"/>
        <w:tblW w:w="0" w:type="auto"/>
        <w:tblLook w:val="04A0" w:firstRow="1" w:lastRow="0" w:firstColumn="1" w:lastColumn="0" w:noHBand="0" w:noVBand="1"/>
      </w:tblPr>
      <w:tblGrid>
        <w:gridCol w:w="9629"/>
      </w:tblGrid>
      <w:tr w:rsidR="000D0C83" w14:paraId="17AFE57D" w14:textId="77777777" w:rsidTr="00D908AB">
        <w:tc>
          <w:tcPr>
            <w:tcW w:w="9629" w:type="dxa"/>
          </w:tcPr>
          <w:p w14:paraId="429E7797" w14:textId="77777777" w:rsidR="000D0C83" w:rsidRPr="007073DF" w:rsidRDefault="000D0C83" w:rsidP="00D908AB">
            <w:pPr>
              <w:snapToGrid w:val="0"/>
              <w:rPr>
                <w:rFonts w:eastAsiaTheme="minorHAnsi"/>
                <w:sz w:val="20"/>
                <w:szCs w:val="20"/>
              </w:rPr>
            </w:pPr>
            <w:r w:rsidRPr="007073DF">
              <w:rPr>
                <w:rFonts w:eastAsiaTheme="minorHAnsi"/>
                <w:sz w:val="20"/>
                <w:szCs w:val="20"/>
              </w:rPr>
              <w:t>The power ramping component is given by;</w:t>
            </w:r>
          </w:p>
          <w:p w14:paraId="545EB47F" w14:textId="77777777" w:rsidR="000D0C83" w:rsidRPr="00D53DEF" w:rsidRDefault="005F6669" w:rsidP="00D908AB">
            <w:pPr>
              <w:pStyle w:val="ListParagraph"/>
              <w:ind w:left="80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w:p>
          <w:p w14:paraId="503F4168" w14:textId="77777777" w:rsidR="000D0C83" w:rsidRPr="00D53DEF" w:rsidRDefault="000D0C83" w:rsidP="00D908AB">
            <w:pPr>
              <w:pStyle w:val="ListParagraph"/>
              <w:numPr>
                <w:ilvl w:val="1"/>
                <w:numId w:val="16"/>
              </w:numPr>
              <w:snapToGrid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25BD0162" w14:textId="77777777" w:rsidR="000D0C83" w:rsidRPr="00D53DEF" w:rsidRDefault="000D0C83" w:rsidP="00D908AB">
            <w:pPr>
              <w:pStyle w:val="ListParagraph"/>
              <w:numPr>
                <w:ilvl w:val="1"/>
                <w:numId w:val="16"/>
              </w:numPr>
              <w:snapToGrid w:val="0"/>
              <w:jc w:val="left"/>
              <w:rPr>
                <w:rFonts w:eastAsiaTheme="minorHAnsi"/>
                <w:sz w:val="20"/>
                <w:szCs w:val="20"/>
              </w:rPr>
            </w:pPr>
            <w:r w:rsidRPr="00D53DEF">
              <w:rPr>
                <w:rFonts w:eastAsiaTheme="minorHAnsi"/>
                <w:sz w:val="20"/>
                <w:szCs w:val="20"/>
              </w:rPr>
              <w:t>Further study and down select from the following alternatives:</w:t>
            </w:r>
          </w:p>
          <w:p w14:paraId="5EEAD4D5" w14:textId="77777777" w:rsidR="000D0C83" w:rsidRPr="00D53DEF" w:rsidRDefault="000D0C83" w:rsidP="00D908AB">
            <w:pPr>
              <w:pStyle w:val="ListParagraph"/>
              <w:numPr>
                <w:ilvl w:val="2"/>
                <w:numId w:val="16"/>
              </w:numPr>
              <w:snapToGrid w:val="0"/>
              <w:jc w:val="left"/>
              <w:rPr>
                <w:rFonts w:eastAsiaTheme="minorHAnsi"/>
                <w:sz w:val="20"/>
                <w:szCs w:val="20"/>
              </w:rPr>
            </w:pPr>
            <w:r w:rsidRPr="00D53DEF">
              <w:rPr>
                <w:rFonts w:eastAsiaTheme="minorHAnsi"/>
                <w:sz w:val="20"/>
                <w:szCs w:val="20"/>
              </w:rPr>
              <w:t>Alt1: Same ramp up for MsgA PUSCH and MsgA PRACH</w:t>
            </w:r>
          </w:p>
          <w:p w14:paraId="71F3CD1D" w14:textId="77777777" w:rsidR="000D0C83" w:rsidRPr="00D53DEF" w:rsidRDefault="000D0C83" w:rsidP="00D908AB">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3110B44B" w14:textId="77777777" w:rsidR="000D0C83" w:rsidRPr="00D53DEF" w:rsidRDefault="000D0C83" w:rsidP="00D908AB">
            <w:pPr>
              <w:pStyle w:val="ListParagraph"/>
              <w:numPr>
                <w:ilvl w:val="3"/>
                <w:numId w:val="16"/>
              </w:numPr>
              <w:snapToGrid w:val="0"/>
              <w:jc w:val="left"/>
              <w:rPr>
                <w:rFonts w:eastAsiaTheme="minorHAnsi"/>
                <w:sz w:val="20"/>
                <w:szCs w:val="20"/>
              </w:rPr>
            </w:pPr>
            <w:r w:rsidRPr="00D53DEF">
              <w:rPr>
                <w:sz w:val="20"/>
                <w:szCs w:val="20"/>
              </w:rPr>
              <w:t>FFS: same power ramping counters for 2-step RACH MsgA PRACH and 4-step RACH Msg1.</w:t>
            </w:r>
          </w:p>
          <w:p w14:paraId="68E1644E" w14:textId="77777777" w:rsidR="000D0C83" w:rsidRPr="00D53DEF" w:rsidRDefault="000D0C83" w:rsidP="00D908AB">
            <w:pPr>
              <w:pStyle w:val="ListParagraph"/>
              <w:numPr>
                <w:ilvl w:val="2"/>
                <w:numId w:val="16"/>
              </w:numPr>
              <w:snapToGrid w:val="0"/>
              <w:jc w:val="left"/>
              <w:rPr>
                <w:rFonts w:eastAsiaTheme="minorHAnsi"/>
                <w:sz w:val="20"/>
                <w:szCs w:val="20"/>
              </w:rPr>
            </w:pPr>
            <w:r w:rsidRPr="00D53DEF">
              <w:rPr>
                <w:rFonts w:eastAsiaTheme="minorHAnsi"/>
                <w:sz w:val="20"/>
                <w:szCs w:val="20"/>
              </w:rPr>
              <w:t>Alt 2: Separate ramp up for MsgA PUSCH and MsgA PRACH, with different counters</w:t>
            </w:r>
          </w:p>
          <w:p w14:paraId="29D1F3FB" w14:textId="77777777" w:rsidR="000D0C83" w:rsidRPr="00D53DEF" w:rsidRDefault="000D0C83" w:rsidP="00D908AB">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7689B062" w14:textId="77777777" w:rsidR="000D0C83" w:rsidRPr="00D53DEF" w:rsidRDefault="000D0C83" w:rsidP="00D908AB">
            <w:pPr>
              <w:pStyle w:val="ListParagraph"/>
              <w:numPr>
                <w:ilvl w:val="2"/>
                <w:numId w:val="16"/>
              </w:numPr>
              <w:snapToGrid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1B409564" w14:textId="77777777" w:rsidR="000D0C83" w:rsidRPr="0012189C" w:rsidRDefault="000D0C83" w:rsidP="00D908AB">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tc>
      </w:tr>
    </w:tbl>
    <w:p w14:paraId="52039CD0" w14:textId="77777777" w:rsidR="000D0C83" w:rsidRDefault="000D0C83" w:rsidP="000D0C83">
      <w:pPr>
        <w:pStyle w:val="0Maintext"/>
        <w:spacing w:after="120" w:afterAutospacing="0" w:line="240" w:lineRule="auto"/>
        <w:ind w:firstLine="0"/>
        <w:rPr>
          <w:lang w:val="en-US"/>
        </w:rPr>
      </w:pPr>
    </w:p>
    <w:p w14:paraId="6FA3BE70" w14:textId="0517623F" w:rsidR="000D0C83" w:rsidRDefault="000D0C83" w:rsidP="000D0C83">
      <w:pPr>
        <w:pStyle w:val="0Maintext"/>
        <w:spacing w:after="120" w:afterAutospacing="0" w:line="240" w:lineRule="auto"/>
        <w:ind w:firstLine="0"/>
        <w:rPr>
          <w:rFonts w:eastAsia="SimSun" w:cs="Times New Roman"/>
          <w:b/>
          <w:bCs/>
          <w:i/>
          <w:iCs/>
          <w:color w:val="000000" w:themeColor="text1"/>
        </w:rPr>
      </w:pPr>
      <w:r w:rsidRPr="001D358F">
        <w:rPr>
          <w:b/>
          <w:bCs/>
          <w:i/>
          <w:iCs/>
          <w:lang w:val="en-US"/>
        </w:rPr>
        <w:t xml:space="preserve">Proposal </w:t>
      </w:r>
      <w:r w:rsidR="001D24AD">
        <w:rPr>
          <w:b/>
          <w:bCs/>
          <w:i/>
          <w:iCs/>
          <w:lang w:val="en-US"/>
        </w:rPr>
        <w:t>4</w:t>
      </w:r>
      <w:r w:rsidRPr="001D358F">
        <w:rPr>
          <w:b/>
          <w:bCs/>
          <w:i/>
          <w:iCs/>
          <w:lang w:val="en-US"/>
        </w:rPr>
        <w:t xml:space="preserve">: </w:t>
      </w:r>
      <w:r w:rsidRPr="007073DF">
        <w:rPr>
          <w:rFonts w:eastAsia="SimSun" w:cs="Times New Roman"/>
          <w:b/>
          <w:bCs/>
          <w:i/>
          <w:iCs/>
          <w:color w:val="000000" w:themeColor="text1"/>
        </w:rPr>
        <w:t>support the same power ramp up for MsgA PRACH and MsgA PUSCH, including the</w:t>
      </w:r>
      <w:r>
        <w:rPr>
          <w:rFonts w:eastAsia="SimSun" w:cs="Times New Roman"/>
          <w:b/>
          <w:bCs/>
          <w:i/>
          <w:iCs/>
          <w:color w:val="000000" w:themeColor="text1"/>
        </w:rPr>
        <w:t xml:space="preserve"> same both</w:t>
      </w:r>
      <w:r w:rsidRPr="007073DF">
        <w:rPr>
          <w:rFonts w:eastAsia="SimSun" w:cs="Times New Roman"/>
          <w:b/>
          <w:bCs/>
          <w:i/>
          <w:iCs/>
          <w:color w:val="000000" w:themeColor="text1"/>
        </w:rPr>
        <w:t xml:space="preserve"> power ramping counter and power ramping step</w:t>
      </w:r>
      <w:r>
        <w:rPr>
          <w:rFonts w:eastAsia="SimSun" w:cs="Times New Roman"/>
          <w:b/>
          <w:bCs/>
          <w:i/>
          <w:iCs/>
          <w:color w:val="000000" w:themeColor="text1"/>
        </w:rPr>
        <w:t>.</w:t>
      </w:r>
    </w:p>
    <w:p w14:paraId="77CDB796" w14:textId="77777777" w:rsidR="000D0C83" w:rsidRDefault="000D0C83" w:rsidP="000D0C83">
      <w:pPr>
        <w:pStyle w:val="0Maintext"/>
        <w:spacing w:after="120" w:afterAutospacing="0" w:line="240" w:lineRule="auto"/>
        <w:ind w:firstLine="0"/>
        <w:rPr>
          <w:lang w:val="en-US"/>
        </w:rPr>
      </w:pPr>
      <w:r w:rsidRPr="007A64E5">
        <w:rPr>
          <w:lang w:val="en-US"/>
        </w:rPr>
        <w:t xml:space="preserve">Another two left issues for PUSCH power control are </w:t>
      </w:r>
      <w:r>
        <w:rPr>
          <w:lang w:val="en-US"/>
        </w:rPr>
        <w:t>showing below.</w:t>
      </w:r>
    </w:p>
    <w:p w14:paraId="2A08DAB9" w14:textId="77777777" w:rsidR="000D0C83" w:rsidRPr="00D53DEF" w:rsidRDefault="000D0C83" w:rsidP="000D0C83">
      <w:pPr>
        <w:pStyle w:val="ListParagraph"/>
        <w:numPr>
          <w:ilvl w:val="0"/>
          <w:numId w:val="16"/>
        </w:numPr>
        <w:snapToGrid w:val="0"/>
        <w:jc w:val="both"/>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0BBADF8" w14:textId="1EEE083C" w:rsidR="000D0C83" w:rsidRPr="00D53DEF" w:rsidRDefault="000D0C83" w:rsidP="000D0C83">
      <w:pPr>
        <w:pStyle w:val="ListParagraph"/>
        <w:numPr>
          <w:ilvl w:val="0"/>
          <w:numId w:val="16"/>
        </w:numPr>
        <w:snapToGrid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by an alpha parameter, which is UE specific that is configured for 2-step separate from that of 4-step RACH. If the 2-step RACH alpha parameter is absent, the parameter </w:t>
      </w:r>
      <w:r w:rsidR="00513BBB">
        <w:rPr>
          <w:rFonts w:eastAsiaTheme="minorHAnsi"/>
          <w:sz w:val="20"/>
          <w:szCs w:val="20"/>
        </w:rPr>
        <w:t>M</w:t>
      </w:r>
      <w:r w:rsidRPr="00D53DEF">
        <w:rPr>
          <w:rFonts w:eastAsiaTheme="minorHAnsi"/>
          <w:sz w:val="20"/>
          <w:szCs w:val="20"/>
        </w:rPr>
        <w:t>sg3-alpha of 4-step RACH is used.</w:t>
      </w:r>
    </w:p>
    <w:p w14:paraId="2B0DD6DD" w14:textId="77777777" w:rsidR="000D0C83" w:rsidRPr="00D53DEF" w:rsidRDefault="000D0C83" w:rsidP="000D0C83">
      <w:pPr>
        <w:pStyle w:val="ListParagraph"/>
        <w:numPr>
          <w:ilvl w:val="1"/>
          <w:numId w:val="16"/>
        </w:numPr>
        <w:snapToGrid w:val="0"/>
        <w:rPr>
          <w:rFonts w:eastAsiaTheme="minorHAnsi"/>
          <w:sz w:val="20"/>
          <w:szCs w:val="20"/>
        </w:rPr>
      </w:pPr>
      <w:r w:rsidRPr="00D53DEF">
        <w:rPr>
          <w:rFonts w:eastAsiaTheme="minorHAnsi"/>
          <w:sz w:val="20"/>
          <w:szCs w:val="20"/>
        </w:rPr>
        <w:t>FFS: cell-specific MsgA PUSCH alpha.</w:t>
      </w:r>
    </w:p>
    <w:p w14:paraId="4CF8B8F9" w14:textId="2A693D4E" w:rsidR="000D0C83" w:rsidRPr="007A64E5" w:rsidRDefault="000D0C83" w:rsidP="000D0C83">
      <w:pPr>
        <w:pStyle w:val="0Maintext"/>
        <w:spacing w:after="120" w:afterAutospacing="0" w:line="240" w:lineRule="auto"/>
        <w:ind w:firstLine="0"/>
        <w:rPr>
          <w:lang w:val="en-US"/>
        </w:rPr>
      </w:pPr>
      <w:r>
        <w:rPr>
          <w:lang w:val="en-US"/>
        </w:rPr>
        <w:t xml:space="preserve">The two power control components can follow the design principle for </w:t>
      </w:r>
      <w:r w:rsidR="00513BBB">
        <w:rPr>
          <w:lang w:val="en-US"/>
        </w:rPr>
        <w:t>Msg</w:t>
      </w:r>
      <w:r>
        <w:rPr>
          <w:lang w:val="en-US"/>
        </w:rPr>
        <w:t xml:space="preserve">3. Since the function between MsgA PUSCH and Msg3 is the similar, the power control parameters should be based on a common configuration. Therefore, the working </w:t>
      </w:r>
      <w:r>
        <w:rPr>
          <w:lang w:val="en-US"/>
        </w:rPr>
        <w:lastRenderedPageBreak/>
        <w:t xml:space="preserve">assumption can be confirmed and the cell-specific MsgA PUSCH alpha don’t need to be defined. If UE is in RRC_IDLE state, the network has no information about the IDLE mode UE, it’s hard to set a cell-specific value to adapt to all UEs, in this case, alpha=1 can be used. </w:t>
      </w:r>
    </w:p>
    <w:p w14:paraId="7CDCF661" w14:textId="1A901A57" w:rsidR="000D0C83" w:rsidRDefault="000D0C83" w:rsidP="000D0C83">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 xml:space="preserve">Proposal </w:t>
      </w:r>
      <w:r w:rsidR="001D24AD">
        <w:rPr>
          <w:rFonts w:eastAsia="SimSun" w:cs="Times New Roman"/>
          <w:b/>
          <w:bCs/>
          <w:i/>
          <w:iCs/>
          <w:color w:val="000000" w:themeColor="text1"/>
        </w:rPr>
        <w:t>5</w:t>
      </w:r>
      <w:r>
        <w:rPr>
          <w:rFonts w:eastAsia="SimSun" w:cs="Times New Roman"/>
          <w:b/>
          <w:bCs/>
          <w:i/>
          <w:iCs/>
          <w:color w:val="000000" w:themeColor="text1"/>
        </w:rPr>
        <w:t>: confirm the working assumption:</w:t>
      </w:r>
    </w:p>
    <w:p w14:paraId="43E4E3D8" w14:textId="77777777" w:rsidR="000D0C83" w:rsidRPr="00B1090C" w:rsidRDefault="000D0C83" w:rsidP="000D0C83">
      <w:pPr>
        <w:pStyle w:val="0Maintext"/>
        <w:numPr>
          <w:ilvl w:val="0"/>
          <w:numId w:val="21"/>
        </w:numPr>
        <w:spacing w:after="120" w:afterAutospacing="0" w:line="240" w:lineRule="auto"/>
        <w:rPr>
          <w:rFonts w:eastAsiaTheme="minorHAnsi" w:cs="Times New Roman"/>
          <w:b/>
          <w:bCs/>
          <w:i/>
          <w:iCs/>
        </w:rPr>
      </w:pPr>
      <w:r w:rsidRPr="00B1090C">
        <w:rPr>
          <w:rFonts w:eastAsiaTheme="minorHAnsi" w:cs="Times New Roman"/>
          <w:b/>
          <w:bCs/>
          <w:i/>
          <w:iCs/>
        </w:rPr>
        <w:t xml:space="preserve">The power component from the transport format </w:t>
      </w:r>
      <m:oMath>
        <m:sSub>
          <m:sSubPr>
            <m:ctrlPr>
              <w:rPr>
                <w:rFonts w:ascii="Cambria Math" w:hAnsi="Cambria Math" w:cs="Times New Roman"/>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cs="Times New Roman"/>
                <w:b/>
                <w:bCs/>
                <w:i/>
                <w:iCs/>
              </w:rPr>
            </m:ctrlPr>
          </m:dPr>
          <m:e>
            <m:r>
              <m:rPr>
                <m:sty m:val="bi"/>
              </m:rPr>
              <w:rPr>
                <w:rFonts w:ascii="Cambria Math" w:hAnsi="Cambria Math" w:cs="Times New Roman"/>
              </w:rPr>
              <m:t>i</m:t>
            </m:r>
          </m:e>
        </m:d>
      </m:oMath>
      <w:r w:rsidRPr="00B1090C">
        <w:rPr>
          <w:rFonts w:eastAsiaTheme="minorHAnsi" w:cs="Times New Roman"/>
          <w:b/>
          <w:bCs/>
          <w:i/>
          <w:iCs/>
        </w:rPr>
        <w:t xml:space="preserve"> is determined based on the same mechanism and the same parameter deltaMCS of Rel-15 Msg3 for the current transmission instance.</w:t>
      </w:r>
    </w:p>
    <w:p w14:paraId="3F05B201" w14:textId="6DAADDCF" w:rsidR="000D0C83" w:rsidRPr="00B1090C" w:rsidRDefault="000D0C83" w:rsidP="000D0C83">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 xml:space="preserve">Proposal </w:t>
      </w:r>
      <w:r w:rsidR="001D24AD">
        <w:rPr>
          <w:rFonts w:eastAsia="SimSun" w:cs="Times New Roman"/>
          <w:b/>
          <w:bCs/>
          <w:i/>
          <w:iCs/>
          <w:color w:val="000000" w:themeColor="text1"/>
          <w:lang w:val="en-US"/>
        </w:rPr>
        <w:t>6</w:t>
      </w:r>
      <w:r>
        <w:rPr>
          <w:rFonts w:eastAsia="SimSun" w:cs="Times New Roman"/>
          <w:b/>
          <w:bCs/>
          <w:i/>
          <w:iCs/>
          <w:color w:val="000000" w:themeColor="text1"/>
          <w:lang w:val="en-US"/>
        </w:rPr>
        <w:t>: Don’t define the cell-specific alpha. If UE-specific alpha is not available, alpha=1 is used for MsgA PUSCH pathloss compensation.</w:t>
      </w:r>
    </w:p>
    <w:p w14:paraId="588AB6B7" w14:textId="77777777" w:rsidR="000D0C83" w:rsidRPr="00305F30" w:rsidRDefault="000D0C83" w:rsidP="000D0C83">
      <w:pPr>
        <w:pStyle w:val="Heading2"/>
      </w:pPr>
      <w:r>
        <w:t>MsgA preamble power control</w:t>
      </w:r>
    </w:p>
    <w:p w14:paraId="5C9068F7" w14:textId="77777777" w:rsidR="000D0C83" w:rsidRPr="00305F30" w:rsidRDefault="000D0C83" w:rsidP="000D0C83">
      <w:pPr>
        <w:spacing w:after="160" w:line="259" w:lineRule="auto"/>
        <w:rPr>
          <w:rFonts w:eastAsiaTheme="minorHAnsi"/>
          <w:sz w:val="20"/>
          <w:szCs w:val="20"/>
        </w:rPr>
      </w:pPr>
      <w:r w:rsidRPr="00305F30">
        <w:rPr>
          <w:rFonts w:eastAsiaTheme="minorHAnsi"/>
          <w:sz w:val="20"/>
          <w:szCs w:val="20"/>
        </w:rPr>
        <w:t>In RAN1#97, the following agreement was reached</w:t>
      </w:r>
      <w:r>
        <w:rPr>
          <w:rFonts w:eastAsiaTheme="minorHAnsi"/>
          <w:sz w:val="20"/>
          <w:szCs w:val="20"/>
        </w:rPr>
        <w:t xml:space="preserve"> on preamble power control</w:t>
      </w:r>
      <w:r w:rsidRPr="00305F30">
        <w:rPr>
          <w:noProof/>
          <w:sz w:val="20"/>
          <w:szCs w:val="20"/>
          <w:lang w:eastAsia="zh-CN"/>
        </w:rPr>
        <mc:AlternateContent>
          <mc:Choice Requires="wps">
            <w:drawing>
              <wp:anchor distT="0" distB="0" distL="114300" distR="114300" simplePos="0" relativeHeight="251661312" behindDoc="0" locked="0" layoutInCell="1" allowOverlap="1" wp14:anchorId="7989975D" wp14:editId="2E80B376">
                <wp:simplePos x="0" y="0"/>
                <wp:positionH relativeFrom="margin">
                  <wp:align>left</wp:align>
                </wp:positionH>
                <wp:positionV relativeFrom="paragraph">
                  <wp:posOffset>288290</wp:posOffset>
                </wp:positionV>
                <wp:extent cx="6508750" cy="1828800"/>
                <wp:effectExtent l="0" t="0" r="25400" b="26670"/>
                <wp:wrapSquare wrapText="bothSides"/>
                <wp:docPr id="2" name="Text Box 2"/>
                <wp:cNvGraphicFramePr/>
                <a:graphic xmlns:a="http://schemas.openxmlformats.org/drawingml/2006/main">
                  <a:graphicData uri="http://schemas.microsoft.com/office/word/2010/wordprocessingShape">
                    <wps:wsp>
                      <wps:cNvSpPr txBox="1"/>
                      <wps:spPr>
                        <a:xfrm>
                          <a:off x="0" y="0"/>
                          <a:ext cx="6508750" cy="1828800"/>
                        </a:xfrm>
                        <a:prstGeom prst="rect">
                          <a:avLst/>
                        </a:prstGeom>
                        <a:noFill/>
                        <a:ln w="6350">
                          <a:solidFill>
                            <a:prstClr val="black"/>
                          </a:solidFill>
                        </a:ln>
                      </wps:spPr>
                      <wps:txbx>
                        <w:txbxContent>
                          <w:p w14:paraId="270C2B0B" w14:textId="77777777" w:rsidR="000D0C83" w:rsidRPr="00305F30" w:rsidRDefault="000D0C83" w:rsidP="000D0C83">
                            <w:pPr>
                              <w:rPr>
                                <w:sz w:val="20"/>
                                <w:szCs w:val="20"/>
                              </w:rPr>
                            </w:pPr>
                            <w:r w:rsidRPr="00305F30">
                              <w:rPr>
                                <w:sz w:val="20"/>
                                <w:szCs w:val="20"/>
                                <w:highlight w:val="green"/>
                              </w:rPr>
                              <w:t>Agreements</w:t>
                            </w:r>
                            <w:r w:rsidRPr="00305F30">
                              <w:rPr>
                                <w:sz w:val="20"/>
                                <w:szCs w:val="20"/>
                              </w:rPr>
                              <w:t>:</w:t>
                            </w:r>
                          </w:p>
                          <w:p w14:paraId="18DC03F0" w14:textId="0BDBD26C" w:rsidR="000D0C83" w:rsidRPr="00305F30" w:rsidRDefault="000D0C83" w:rsidP="000D0C83">
                            <w:pPr>
                              <w:pStyle w:val="ListParagraph"/>
                              <w:numPr>
                                <w:ilvl w:val="0"/>
                                <w:numId w:val="17"/>
                              </w:numPr>
                              <w:overflowPunct w:val="0"/>
                              <w:autoSpaceDE w:val="0"/>
                              <w:autoSpaceDN w:val="0"/>
                              <w:adjustRightInd w:val="0"/>
                              <w:spacing w:after="180"/>
                              <w:contextualSpacing/>
                              <w:textAlignment w:val="baseline"/>
                              <w:rPr>
                                <w:rFonts w:eastAsia="DengXian"/>
                                <w:kern w:val="2"/>
                                <w:sz w:val="20"/>
                                <w:szCs w:val="20"/>
                                <w:lang w:eastAsia="zh-CN"/>
                              </w:rPr>
                            </w:pPr>
                            <w:r w:rsidRPr="00305F30">
                              <w:rPr>
                                <w:rFonts w:eastAsia="DengXian"/>
                                <w:kern w:val="2"/>
                                <w:sz w:val="20"/>
                                <w:szCs w:val="20"/>
                                <w:lang w:eastAsia="zh-CN"/>
                              </w:rPr>
                              <w:t>RACH preamble power control parameters include</w:t>
                            </w:r>
                            <w:r w:rsidR="00435D92">
                              <w:rPr>
                                <w:rFonts w:eastAsia="DengXian"/>
                                <w:kern w:val="2"/>
                                <w:sz w:val="20"/>
                                <w:szCs w:val="20"/>
                                <w:lang w:eastAsia="zh-CN"/>
                              </w:rPr>
                              <w:t>:</w:t>
                            </w:r>
                            <w:r w:rsidRPr="00305F30">
                              <w:rPr>
                                <w:rFonts w:eastAsia="DengXian"/>
                                <w:kern w:val="2"/>
                                <w:sz w:val="20"/>
                                <w:szCs w:val="20"/>
                                <w:lang w:eastAsia="zh-CN"/>
                              </w:rPr>
                              <w:t xml:space="preserve"> </w:t>
                            </w:r>
                            <w:r w:rsidRPr="00305F30">
                              <w:rPr>
                                <w:rFonts w:eastAsia="DengXian"/>
                                <w:i/>
                                <w:kern w:val="2"/>
                                <w:sz w:val="20"/>
                                <w:szCs w:val="20"/>
                                <w:lang w:eastAsia="zh-CN"/>
                              </w:rPr>
                              <w:t>powerRampingStep</w:t>
                            </w:r>
                            <w:r w:rsidRPr="00305F30">
                              <w:rPr>
                                <w:rFonts w:eastAsia="DengXian"/>
                                <w:kern w:val="2"/>
                                <w:sz w:val="20"/>
                                <w:szCs w:val="20"/>
                                <w:lang w:eastAsia="zh-CN"/>
                              </w:rPr>
                              <w:t xml:space="preserve"> and </w:t>
                            </w:r>
                            <w:r w:rsidRPr="00305F30">
                              <w:rPr>
                                <w:rFonts w:eastAsia="DengXian"/>
                                <w:i/>
                                <w:kern w:val="2"/>
                                <w:sz w:val="20"/>
                                <w:szCs w:val="20"/>
                                <w:lang w:eastAsia="zh-CN"/>
                              </w:rPr>
                              <w:t>preambleReceivedTargetPower</w:t>
                            </w:r>
                            <w:r w:rsidRPr="00305F30">
                              <w:rPr>
                                <w:rFonts w:eastAsia="DengXian"/>
                                <w:kern w:val="2"/>
                                <w:sz w:val="20"/>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989975D" id="_x0000_t202" coordsize="21600,21600" o:spt="202" path="m,l,21600r21600,l21600,xe">
                <v:stroke joinstyle="miter"/>
                <v:path gradientshapeok="t" o:connecttype="rect"/>
              </v:shapetype>
              <v:shape id="Text Box 2" o:spid="_x0000_s1026" type="#_x0000_t202" style="position:absolute;margin-left:0;margin-top:22.7pt;width:512.5pt;height:2in;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k2BLQAIAAHoEAAAOAAAAZHJzL2Uyb0RvYy54bWysVMtuGjEU3VfqP1jelwEKCUEMESWiqhQl&#13;&#10;kaDK2ng8MKrH17UNM/Tre2weQWlXVTfmvuY+zrmXyX1ba7ZXzldkct7rdDlTRlJRmU3Ov68Wn0ac&#13;&#10;+SBMITQZlfOD8vx++vHDpLFj1act6UI5hiTGjxub820IdpxlXm5VLXyHrDJwluRqEaC6TVY40SB7&#13;&#10;rbN+t3uTNeQK60gq72F9ODr5NOUvSyXDc1l6FZjOOXoL6XXpXcc3m07EeOOE3Vby1Ib4hy5qURkU&#13;&#10;vaR6EEGwnav+SFVX0pGnMnQk1RmVZSVVmgHT9LrvplluhVVpFoDj7QUm///Syqf9i2NVkfM+Z0bU&#13;&#10;oGil2sC+UMv6EZ3G+jGClhZhoYUZLJ/tHsY4dFu6Ov5iHAY/cD5csI3JJIw3w+7odgiXhK836o9G&#13;&#10;3YR+9va5dT58VVSzKOTcgbyEqdg/+oBWEHoOidUMLSqtE4HasAYlPiN/9HjSVRGdUYmfzLVje4EV&#13;&#10;WGshf8T2kesqCpo2MMZhj0NFKbTr9oTAmooDAHB0XCBv5aJC3kfhw4tw2BgMhisIz3hKTWiGThJn&#13;&#10;W3K//maP8SASXs4abGDO/c+dcIoz/c2A4rveYBBXNimD4W0firv2rK89ZlfPCRP2cG9WJjHGB30W&#13;&#10;S0f1K45lFqvCJYxE7ZyHszgPx7vAsUk1m6UgLKkV4dEsrYypz3iu2lfh7ImnAIqf6LyrYvyOrmNs&#13;&#10;osXOdgGkJS4jwEdUT7hjwRMtp2OMF3Stp6i3v4zpbwAAAP//AwBQSwMEFAAGAAgAAAAhALNE60Di&#13;&#10;AAAADQEAAA8AAABkcnMvZG93bnJldi54bWxMj81Ow0AMhO9IvMPKSNzohiYFlMapEH+RuFHoITc3&#13;&#10;cZNAdjfKbtv07XFPcLFkj2Y8X7aaTK8OPPrOWYTbWQSKbeXqzjYIX5+vNw+gfCBbU+8sI5zYwyq/&#13;&#10;vMgord3RfvBhHRolIdanhNCGMKRa+6plQ37mBrai7dxoKMg6Nroe6SjhptfzKLrThjorH1oa+Knl&#13;&#10;6me9Nwil2ZTD+wvR/dvOl5vpuzj5okC8vpqelzIel6ACT+HPAWcG6Q+5FNu6va296hGEJiAkiwTU&#13;&#10;WY3mC7lsEeI4TkDnmf5Pkf8CAAD//wMAUEsBAi0AFAAGAAgAAAAhALaDOJL+AAAA4QEAABMAAAAA&#13;&#10;AAAAAAAAAAAAAAAAAFtDb250ZW50X1R5cGVzXS54bWxQSwECLQAUAAYACAAAACEAOP0h/9YAAACU&#13;&#10;AQAACwAAAAAAAAAAAAAAAAAvAQAAX3JlbHMvLnJlbHNQSwECLQAUAAYACAAAACEA9ZNgS0ACAAB6&#13;&#10;BAAADgAAAAAAAAAAAAAAAAAuAgAAZHJzL2Uyb0RvYy54bWxQSwECLQAUAAYACAAAACEAs0TrQOIA&#13;&#10;AAANAQAADwAAAAAAAAAAAAAAAACaBAAAZHJzL2Rvd25yZXYueG1sUEsFBgAAAAAEAAQA8wAAAKkF&#13;&#10;AAAAAA==&#13;&#10;" filled="f" strokeweight=".5pt">
                <v:textbox style="mso-fit-shape-to-text:t">
                  <w:txbxContent>
                    <w:p w14:paraId="270C2B0B" w14:textId="77777777" w:rsidR="000D0C83" w:rsidRPr="00305F30" w:rsidRDefault="000D0C83" w:rsidP="000D0C83">
                      <w:pPr>
                        <w:rPr>
                          <w:sz w:val="20"/>
                          <w:szCs w:val="20"/>
                        </w:rPr>
                      </w:pPr>
                      <w:r w:rsidRPr="00305F30">
                        <w:rPr>
                          <w:sz w:val="20"/>
                          <w:szCs w:val="20"/>
                          <w:highlight w:val="green"/>
                        </w:rPr>
                        <w:t>Agreements</w:t>
                      </w:r>
                      <w:r w:rsidRPr="00305F30">
                        <w:rPr>
                          <w:sz w:val="20"/>
                          <w:szCs w:val="20"/>
                        </w:rPr>
                        <w:t>:</w:t>
                      </w:r>
                    </w:p>
                    <w:p w14:paraId="18DC03F0" w14:textId="0BDBD26C" w:rsidR="000D0C83" w:rsidRPr="00305F30" w:rsidRDefault="000D0C83" w:rsidP="000D0C83">
                      <w:pPr>
                        <w:pStyle w:val="ListParagraph"/>
                        <w:numPr>
                          <w:ilvl w:val="0"/>
                          <w:numId w:val="17"/>
                        </w:numPr>
                        <w:overflowPunct w:val="0"/>
                        <w:autoSpaceDE w:val="0"/>
                        <w:autoSpaceDN w:val="0"/>
                        <w:adjustRightInd w:val="0"/>
                        <w:spacing w:after="180"/>
                        <w:contextualSpacing/>
                        <w:textAlignment w:val="baseline"/>
                        <w:rPr>
                          <w:rFonts w:eastAsia="DengXian"/>
                          <w:kern w:val="2"/>
                          <w:sz w:val="20"/>
                          <w:szCs w:val="20"/>
                          <w:lang w:eastAsia="zh-CN"/>
                        </w:rPr>
                      </w:pPr>
                      <w:r w:rsidRPr="00305F30">
                        <w:rPr>
                          <w:rFonts w:eastAsia="DengXian"/>
                          <w:kern w:val="2"/>
                          <w:sz w:val="20"/>
                          <w:szCs w:val="20"/>
                          <w:lang w:eastAsia="zh-CN"/>
                        </w:rPr>
                        <w:t>RACH preamble power control parameters include</w:t>
                      </w:r>
                      <w:r w:rsidR="00435D92">
                        <w:rPr>
                          <w:rFonts w:eastAsia="DengXian"/>
                          <w:kern w:val="2"/>
                          <w:sz w:val="20"/>
                          <w:szCs w:val="20"/>
                          <w:lang w:eastAsia="zh-CN"/>
                        </w:rPr>
                        <w:t>:</w:t>
                      </w:r>
                      <w:r w:rsidRPr="00305F30">
                        <w:rPr>
                          <w:rFonts w:eastAsia="DengXian"/>
                          <w:kern w:val="2"/>
                          <w:sz w:val="20"/>
                          <w:szCs w:val="20"/>
                          <w:lang w:eastAsia="zh-CN"/>
                        </w:rPr>
                        <w:t xml:space="preserve"> </w:t>
                      </w:r>
                      <w:r w:rsidRPr="00305F30">
                        <w:rPr>
                          <w:rFonts w:eastAsia="DengXian"/>
                          <w:i/>
                          <w:kern w:val="2"/>
                          <w:sz w:val="20"/>
                          <w:szCs w:val="20"/>
                          <w:lang w:eastAsia="zh-CN"/>
                        </w:rPr>
                        <w:t>powerRampingStep</w:t>
                      </w:r>
                      <w:r w:rsidRPr="00305F30">
                        <w:rPr>
                          <w:rFonts w:eastAsia="DengXian"/>
                          <w:kern w:val="2"/>
                          <w:sz w:val="20"/>
                          <w:szCs w:val="20"/>
                          <w:lang w:eastAsia="zh-CN"/>
                        </w:rPr>
                        <w:t xml:space="preserve"> and </w:t>
                      </w:r>
                      <w:r w:rsidRPr="00305F30">
                        <w:rPr>
                          <w:rFonts w:eastAsia="DengXian"/>
                          <w:i/>
                          <w:kern w:val="2"/>
                          <w:sz w:val="20"/>
                          <w:szCs w:val="20"/>
                          <w:lang w:eastAsia="zh-CN"/>
                        </w:rPr>
                        <w:t>preambleReceivedTargetPower</w:t>
                      </w:r>
                      <w:r w:rsidRPr="00305F30">
                        <w:rPr>
                          <w:rFonts w:eastAsia="DengXian"/>
                          <w:kern w:val="2"/>
                          <w:sz w:val="20"/>
                          <w:szCs w:val="20"/>
                          <w:lang w:eastAsia="zh-CN"/>
                        </w:rPr>
                        <w:t>.</w:t>
                      </w:r>
                    </w:p>
                  </w:txbxContent>
                </v:textbox>
                <w10:wrap type="square" anchorx="margin"/>
              </v:shape>
            </w:pict>
          </mc:Fallback>
        </mc:AlternateContent>
      </w:r>
      <w:r>
        <w:rPr>
          <w:rFonts w:eastAsiaTheme="minorHAnsi"/>
          <w:sz w:val="20"/>
          <w:szCs w:val="20"/>
        </w:rPr>
        <w:t>.</w:t>
      </w:r>
    </w:p>
    <w:p w14:paraId="2B17A772" w14:textId="61A64B90" w:rsidR="000D0C83" w:rsidRDefault="000D0C83" w:rsidP="000D0C83">
      <w:pPr>
        <w:pStyle w:val="0Maintext"/>
        <w:spacing w:after="120" w:afterAutospacing="0" w:line="240" w:lineRule="auto"/>
        <w:ind w:firstLine="0"/>
        <w:rPr>
          <w:lang w:val="en-US"/>
        </w:rPr>
      </w:pPr>
      <w:r>
        <w:rPr>
          <w:lang w:val="en-US"/>
        </w:rPr>
        <w:t xml:space="preserve">For the two power control parameters, the open issues include whether the same power control parameters are used for 2-step RACH and 4-step RACH, and whether separate parameters are needed for shared ROs and separated ROs. Regarding the parameter </w:t>
      </w:r>
      <w:r w:rsidRPr="00305F30">
        <w:rPr>
          <w:rFonts w:eastAsia="DengXian"/>
          <w:i/>
          <w:kern w:val="2"/>
          <w:lang w:eastAsia="zh-CN"/>
        </w:rPr>
        <w:t>preambleReceivedTargetPower</w:t>
      </w:r>
      <w:r>
        <w:rPr>
          <w:lang w:val="en-US"/>
        </w:rPr>
        <w:t>, which is target power at the gNB receiver side,</w:t>
      </w:r>
      <w:r w:rsidRPr="004B6059">
        <w:rPr>
          <w:lang w:val="en-US"/>
        </w:rPr>
        <w:t xml:space="preserve"> </w:t>
      </w:r>
      <w:r>
        <w:rPr>
          <w:lang w:val="en-US"/>
        </w:rPr>
        <w:t xml:space="preserve">and it’s the cell specific parameter. Clearly for the shared ROs case, the network will not configure different target received power at receiver side, otherwise the preamble detection performance for 2-step RACH or 4-step RACH would be impacted. For the separated ROs case, before UE selects 2-step RACH, it had already done the SSB RSRP measurement, and </w:t>
      </w:r>
      <w:r w:rsidR="00314265">
        <w:rPr>
          <w:lang w:val="en-US"/>
        </w:rPr>
        <w:t xml:space="preserve">if </w:t>
      </w:r>
      <w:r>
        <w:rPr>
          <w:lang w:val="en-US"/>
        </w:rPr>
        <w:t>the measure</w:t>
      </w:r>
      <w:r w:rsidR="00314265">
        <w:rPr>
          <w:lang w:val="en-US"/>
        </w:rPr>
        <w:t>d</w:t>
      </w:r>
      <w:r>
        <w:rPr>
          <w:lang w:val="en-US"/>
        </w:rPr>
        <w:t xml:space="preserve"> results </w:t>
      </w:r>
      <w:r w:rsidR="00314265">
        <w:rPr>
          <w:lang w:val="en-US"/>
        </w:rPr>
        <w:t>are</w:t>
      </w:r>
      <w:r>
        <w:rPr>
          <w:lang w:val="en-US"/>
        </w:rPr>
        <w:t xml:space="preserve"> over the threshold, </w:t>
      </w:r>
      <w:r w:rsidR="00314265">
        <w:rPr>
          <w:lang w:val="en-US"/>
        </w:rPr>
        <w:t>UE would select the 2-step RACH procedure,</w:t>
      </w:r>
      <w:r>
        <w:rPr>
          <w:lang w:val="en-US"/>
        </w:rPr>
        <w:t xml:space="preserve"> in some sense the link budge is good enough for  2-step RACH, thus it’s not necessary to set another received target power for 2-step RACH preamble detection. </w:t>
      </w:r>
    </w:p>
    <w:p w14:paraId="457F807A" w14:textId="77777777" w:rsidR="000D0C83" w:rsidRDefault="000D0C83" w:rsidP="000D0C83">
      <w:pPr>
        <w:pStyle w:val="0Maintext"/>
        <w:spacing w:after="120" w:afterAutospacing="0" w:line="240" w:lineRule="auto"/>
        <w:ind w:firstLine="0"/>
        <w:rPr>
          <w:lang w:val="en-US"/>
        </w:rPr>
      </w:pPr>
      <w:r>
        <w:rPr>
          <w:lang w:val="en-US"/>
        </w:rPr>
        <w:t xml:space="preserve">For parameter </w:t>
      </w:r>
      <w:r w:rsidRPr="00305F30">
        <w:rPr>
          <w:rFonts w:eastAsia="DengXian"/>
          <w:i/>
          <w:kern w:val="2"/>
          <w:lang w:eastAsia="zh-CN"/>
        </w:rPr>
        <w:t>powerRampingStep</w:t>
      </w:r>
      <w:r>
        <w:rPr>
          <w:lang w:val="en-US"/>
        </w:rPr>
        <w:t>, it can be separated configured from 4-step RACH. As the intention of introducing the 2-step RACH is to reduce the latency to access the network. Separately configured power ramping step could achieve this target via configuring a larger power ramping step to reduce the number of preamble re-transmission.</w:t>
      </w:r>
    </w:p>
    <w:p w14:paraId="4770ADC6" w14:textId="265C54D7" w:rsidR="000D0C83" w:rsidRPr="00B34476" w:rsidRDefault="000D0C83" w:rsidP="000D0C83">
      <w:pPr>
        <w:tabs>
          <w:tab w:val="left" w:pos="1900"/>
          <w:tab w:val="left" w:pos="2637"/>
        </w:tabs>
        <w:autoSpaceDE w:val="0"/>
        <w:autoSpaceDN w:val="0"/>
        <w:adjustRightInd w:val="0"/>
        <w:spacing w:after="120" w:line="216" w:lineRule="atLeast"/>
        <w:rPr>
          <w:rFonts w:eastAsia="SimSun"/>
          <w:b/>
          <w:bCs/>
          <w:i/>
          <w:iCs/>
          <w:color w:val="000D28"/>
          <w:sz w:val="20"/>
          <w:szCs w:val="20"/>
        </w:rPr>
      </w:pPr>
      <w:r w:rsidRPr="00B34476">
        <w:rPr>
          <w:rFonts w:eastAsia="SimSun"/>
          <w:b/>
          <w:bCs/>
          <w:i/>
          <w:iCs/>
          <w:color w:val="000D28"/>
          <w:sz w:val="20"/>
          <w:szCs w:val="20"/>
        </w:rPr>
        <w:t xml:space="preserve">Proposal </w:t>
      </w:r>
      <w:r w:rsidR="001D24AD">
        <w:rPr>
          <w:rFonts w:eastAsia="SimSun"/>
          <w:b/>
          <w:bCs/>
          <w:i/>
          <w:iCs/>
          <w:color w:val="000D28"/>
          <w:sz w:val="20"/>
          <w:szCs w:val="20"/>
        </w:rPr>
        <w:t>7</w:t>
      </w:r>
      <w:r w:rsidRPr="00B34476">
        <w:rPr>
          <w:rFonts w:eastAsia="SimSun"/>
          <w:b/>
          <w:bCs/>
          <w:i/>
          <w:iCs/>
          <w:color w:val="000D28"/>
          <w:sz w:val="20"/>
          <w:szCs w:val="20"/>
        </w:rPr>
        <w:t>:</w:t>
      </w:r>
      <w:r>
        <w:rPr>
          <w:rFonts w:eastAsia="SimSun"/>
          <w:b/>
          <w:bCs/>
          <w:i/>
          <w:iCs/>
          <w:color w:val="000D28"/>
          <w:sz w:val="20"/>
          <w:szCs w:val="20"/>
        </w:rPr>
        <w:t xml:space="preserve"> Regarding</w:t>
      </w:r>
      <w:r w:rsidRPr="00B34476">
        <w:rPr>
          <w:rFonts w:eastAsia="SimSun"/>
          <w:b/>
          <w:bCs/>
          <w:i/>
          <w:iCs/>
          <w:color w:val="000D28"/>
          <w:sz w:val="20"/>
          <w:szCs w:val="20"/>
        </w:rPr>
        <w:t xml:space="preserve"> RACH preamble power control</w:t>
      </w:r>
      <w:r>
        <w:rPr>
          <w:rFonts w:eastAsia="SimSun"/>
          <w:b/>
          <w:bCs/>
          <w:i/>
          <w:iCs/>
          <w:color w:val="000D28"/>
          <w:sz w:val="20"/>
          <w:szCs w:val="20"/>
        </w:rPr>
        <w:t xml:space="preserve">, </w:t>
      </w:r>
      <w:r w:rsidRPr="00B34476">
        <w:rPr>
          <w:rFonts w:eastAsia="SimSun"/>
          <w:b/>
          <w:bCs/>
          <w:i/>
          <w:iCs/>
          <w:color w:val="000D28"/>
          <w:sz w:val="20"/>
          <w:szCs w:val="20"/>
        </w:rPr>
        <w:t>for both shared ROs and separated ROs, the preamble power control parameter preambleRecievedTargetPower is the same as 4-step RACH, the parameter powerRampingStep is separately configured.</w:t>
      </w:r>
    </w:p>
    <w:p w14:paraId="48C75C85" w14:textId="0E26EEA8" w:rsidR="000D0C83" w:rsidRDefault="000D0C83" w:rsidP="000D0C83">
      <w:pPr>
        <w:pStyle w:val="Heading2"/>
      </w:pPr>
      <w:r>
        <w:t xml:space="preserve">MsgA power </w:t>
      </w:r>
      <w:r w:rsidR="00314265">
        <w:t>d</w:t>
      </w:r>
      <w:r>
        <w:t>eduction</w:t>
      </w:r>
    </w:p>
    <w:p w14:paraId="2335411F" w14:textId="77777777" w:rsidR="000D0C83" w:rsidRDefault="000D0C83" w:rsidP="000D0C83">
      <w:pPr>
        <w:pStyle w:val="0Maintext"/>
        <w:spacing w:after="120" w:afterAutospacing="0" w:line="240" w:lineRule="auto"/>
        <w:ind w:firstLine="0"/>
        <w:rPr>
          <w:lang w:val="en-US"/>
        </w:rPr>
      </w:pPr>
      <w:r>
        <w:rPr>
          <w:lang w:val="en-US"/>
        </w:rPr>
        <w:t>In Rel.15 the power reduction rule was defined if UE is operating in single cell with two UL carriers or operating in CA. Similarly, the power reduction rule shall be defined for 2-step RACH as well. When total transmission power exceeds the maximum transmission power in carrier aggregation operation, UE should deduct power for some uplink signals based on a priority rule. Since MsgA PUSCH should be as important as MsgA PRACH, it should share the same priority as PRACH. Therefore, for priority rule on power deduction, MsgA PUSCH should share the same priority as PRACH transmission on PCell.</w:t>
      </w:r>
    </w:p>
    <w:p w14:paraId="7629B5CF" w14:textId="1B344928" w:rsidR="009628B1" w:rsidRPr="000D0C83" w:rsidRDefault="000D0C83" w:rsidP="000D0C83">
      <w:pPr>
        <w:pStyle w:val="0Maintext"/>
        <w:spacing w:after="120" w:afterAutospacing="0" w:line="240" w:lineRule="auto"/>
        <w:ind w:firstLine="0"/>
        <w:rPr>
          <w:b/>
          <w:bCs/>
          <w:i/>
          <w:iCs/>
          <w:lang w:val="en-US"/>
        </w:rPr>
      </w:pPr>
      <w:r w:rsidRPr="001D358F">
        <w:rPr>
          <w:b/>
          <w:bCs/>
          <w:i/>
          <w:iCs/>
          <w:lang w:val="en-US"/>
        </w:rPr>
        <w:t xml:space="preserve">Proposal </w:t>
      </w:r>
      <w:r w:rsidR="001D24AD">
        <w:rPr>
          <w:b/>
          <w:bCs/>
          <w:i/>
          <w:iCs/>
          <w:lang w:val="en-US"/>
        </w:rPr>
        <w:t>8</w:t>
      </w:r>
      <w:r w:rsidRPr="001D358F">
        <w:rPr>
          <w:b/>
          <w:bCs/>
          <w:i/>
          <w:iCs/>
          <w:lang w:val="en-US"/>
        </w:rPr>
        <w:t>: For priority rule on power deduction, Msg</w:t>
      </w:r>
      <w:r>
        <w:rPr>
          <w:b/>
          <w:bCs/>
          <w:i/>
          <w:iCs/>
          <w:lang w:val="en-US"/>
        </w:rPr>
        <w:t>A PUSCH</w:t>
      </w:r>
      <w:r w:rsidRPr="001D358F">
        <w:rPr>
          <w:b/>
          <w:bCs/>
          <w:i/>
          <w:iCs/>
          <w:lang w:val="en-US"/>
        </w:rPr>
        <w:t xml:space="preserve"> should share the same priority as PRACH transmission on PCell.</w:t>
      </w:r>
    </w:p>
    <w:p w14:paraId="582659F1" w14:textId="3034C969" w:rsidR="00633C58" w:rsidRDefault="00633C58" w:rsidP="00633C58">
      <w:pPr>
        <w:pStyle w:val="Heading1"/>
      </w:pPr>
      <w:r>
        <w:t>Summary</w:t>
      </w:r>
    </w:p>
    <w:p w14:paraId="147AE064" w14:textId="2073B0FC" w:rsidR="004D69EF" w:rsidRPr="00447804" w:rsidRDefault="007844AA" w:rsidP="0059679E">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MsgB HARQ feedback related issues and </w:t>
      </w:r>
      <w:r w:rsidRPr="00447804">
        <w:rPr>
          <w:rFonts w:eastAsia="MS Mincho"/>
          <w:sz w:val="20"/>
          <w:szCs w:val="20"/>
          <w:lang w:eastAsia="ja-JP"/>
        </w:rPr>
        <w:t xml:space="preserve">some of the remaining issues </w:t>
      </w:r>
      <w:r w:rsidR="008C3C75">
        <w:rPr>
          <w:rFonts w:eastAsia="MS Mincho"/>
          <w:sz w:val="20"/>
          <w:szCs w:val="20"/>
          <w:lang w:eastAsia="ja-JP"/>
        </w:rPr>
        <w:t>of MsgA power control</w:t>
      </w:r>
      <w:r w:rsidR="00E12172" w:rsidRPr="00447804">
        <w:rPr>
          <w:rFonts w:eastAsia="MS Mincho"/>
          <w:sz w:val="20"/>
          <w:szCs w:val="20"/>
          <w:lang w:eastAsia="ja-JP"/>
        </w:rPr>
        <w:t>. We have the following the proposals:</w:t>
      </w:r>
    </w:p>
    <w:p w14:paraId="39D20D10" w14:textId="17C4E6CD" w:rsidR="0059679E" w:rsidRDefault="0059679E" w:rsidP="0059679E">
      <w:pPr>
        <w:spacing w:after="120"/>
        <w:jc w:val="both"/>
        <w:rPr>
          <w:b/>
          <w:bCs/>
          <w:i/>
          <w:iCs/>
          <w:color w:val="000000"/>
          <w:sz w:val="20"/>
          <w:szCs w:val="20"/>
          <w:lang w:eastAsia="zh-CN"/>
        </w:rPr>
      </w:pPr>
      <w:r w:rsidRPr="00733404">
        <w:rPr>
          <w:b/>
          <w:bCs/>
          <w:i/>
          <w:iCs/>
          <w:color w:val="000000"/>
          <w:sz w:val="20"/>
          <w:szCs w:val="20"/>
          <w:lang w:eastAsia="zh-CN"/>
        </w:rPr>
        <w:t>Proposal 1: If UE detects the MsgB with C-RNTI, UE provide</w:t>
      </w:r>
      <w:r>
        <w:rPr>
          <w:b/>
          <w:bCs/>
          <w:i/>
          <w:iCs/>
          <w:color w:val="000000"/>
          <w:sz w:val="20"/>
          <w:szCs w:val="20"/>
          <w:lang w:eastAsia="zh-CN"/>
        </w:rPr>
        <w:t>s</w:t>
      </w:r>
      <w:r w:rsidRPr="00733404">
        <w:rPr>
          <w:b/>
          <w:bCs/>
          <w:i/>
          <w:iCs/>
          <w:color w:val="000000"/>
          <w:sz w:val="20"/>
          <w:szCs w:val="20"/>
          <w:lang w:eastAsia="zh-CN"/>
        </w:rPr>
        <w:t xml:space="preserve"> the HARA-ACK feedback</w:t>
      </w:r>
      <w:r>
        <w:rPr>
          <w:b/>
          <w:bCs/>
          <w:i/>
          <w:iCs/>
          <w:color w:val="000000"/>
          <w:sz w:val="20"/>
          <w:szCs w:val="20"/>
          <w:lang w:eastAsia="zh-CN"/>
        </w:rPr>
        <w:t>, including ACK or NACK</w:t>
      </w:r>
      <w:r w:rsidRPr="00733404">
        <w:rPr>
          <w:b/>
          <w:bCs/>
          <w:i/>
          <w:iCs/>
          <w:color w:val="000000"/>
          <w:sz w:val="20"/>
          <w:szCs w:val="20"/>
          <w:lang w:eastAsia="zh-CN"/>
        </w:rPr>
        <w:t>; if UE detect</w:t>
      </w:r>
      <w:r>
        <w:rPr>
          <w:b/>
          <w:bCs/>
          <w:i/>
          <w:iCs/>
          <w:color w:val="000000"/>
          <w:sz w:val="20"/>
          <w:szCs w:val="20"/>
          <w:lang w:eastAsia="zh-CN"/>
        </w:rPr>
        <w:t>s</w:t>
      </w:r>
      <w:r w:rsidRPr="00733404">
        <w:rPr>
          <w:b/>
          <w:bCs/>
          <w:i/>
          <w:iCs/>
          <w:color w:val="000000"/>
          <w:sz w:val="20"/>
          <w:szCs w:val="20"/>
          <w:lang w:eastAsia="zh-CN"/>
        </w:rPr>
        <w:t xml:space="preserve"> the contention resolution ID in </w:t>
      </w:r>
      <w:r w:rsidR="00513BBB">
        <w:rPr>
          <w:b/>
          <w:bCs/>
          <w:i/>
          <w:iCs/>
          <w:color w:val="000000"/>
          <w:sz w:val="20"/>
          <w:szCs w:val="20"/>
          <w:lang w:eastAsia="zh-CN"/>
        </w:rPr>
        <w:t>Msg</w:t>
      </w:r>
      <w:r w:rsidRPr="00733404">
        <w:rPr>
          <w:b/>
          <w:bCs/>
          <w:i/>
          <w:iCs/>
          <w:color w:val="000000"/>
          <w:sz w:val="20"/>
          <w:szCs w:val="20"/>
          <w:lang w:eastAsia="zh-CN"/>
        </w:rPr>
        <w:t>B with common-RNTI, UE should provide the ACK feedback</w:t>
      </w:r>
      <w:r>
        <w:rPr>
          <w:b/>
          <w:bCs/>
          <w:i/>
          <w:iCs/>
          <w:color w:val="000000"/>
          <w:sz w:val="20"/>
          <w:szCs w:val="20"/>
          <w:lang w:eastAsia="zh-CN"/>
        </w:rPr>
        <w:t>, otherwise NACK should not be sent</w:t>
      </w:r>
      <w:r w:rsidRPr="00733404">
        <w:rPr>
          <w:b/>
          <w:bCs/>
          <w:i/>
          <w:iCs/>
          <w:color w:val="000000"/>
          <w:sz w:val="20"/>
          <w:szCs w:val="20"/>
          <w:lang w:eastAsia="zh-CN"/>
        </w:rPr>
        <w:t>.</w:t>
      </w:r>
    </w:p>
    <w:p w14:paraId="3088CF29" w14:textId="0DC9AABF" w:rsidR="0059679E" w:rsidRPr="00417C24" w:rsidRDefault="0059679E" w:rsidP="0059679E">
      <w:pPr>
        <w:spacing w:after="120"/>
        <w:jc w:val="both"/>
        <w:rPr>
          <w:b/>
          <w:bCs/>
          <w:i/>
          <w:iCs/>
          <w:color w:val="000000"/>
          <w:sz w:val="20"/>
          <w:szCs w:val="20"/>
          <w:lang w:eastAsia="zh-CN"/>
        </w:rPr>
      </w:pPr>
      <w:r w:rsidRPr="00733404">
        <w:rPr>
          <w:b/>
          <w:bCs/>
          <w:i/>
          <w:iCs/>
          <w:color w:val="000000"/>
          <w:sz w:val="20"/>
          <w:szCs w:val="20"/>
          <w:lang w:eastAsia="zh-CN"/>
        </w:rPr>
        <w:t xml:space="preserve">Proposal </w:t>
      </w:r>
      <w:r>
        <w:rPr>
          <w:b/>
          <w:bCs/>
          <w:i/>
          <w:iCs/>
          <w:color w:val="000000"/>
          <w:sz w:val="20"/>
          <w:szCs w:val="20"/>
          <w:lang w:eastAsia="zh-CN"/>
        </w:rPr>
        <w:t>2</w:t>
      </w:r>
      <w:r w:rsidRPr="00733404">
        <w:rPr>
          <w:b/>
          <w:bCs/>
          <w:i/>
          <w:iCs/>
          <w:color w:val="000000"/>
          <w:sz w:val="20"/>
          <w:szCs w:val="20"/>
          <w:lang w:eastAsia="zh-CN"/>
        </w:rPr>
        <w:t>:</w:t>
      </w:r>
      <w:r>
        <w:rPr>
          <w:b/>
          <w:bCs/>
          <w:i/>
          <w:iCs/>
          <w:color w:val="000000"/>
          <w:sz w:val="20"/>
          <w:szCs w:val="20"/>
          <w:lang w:eastAsia="zh-CN"/>
        </w:rPr>
        <w:t xml:space="preserve"> I</w:t>
      </w:r>
      <w:r w:rsidRPr="00733404">
        <w:rPr>
          <w:b/>
          <w:bCs/>
          <w:i/>
          <w:iCs/>
          <w:color w:val="000000"/>
          <w:sz w:val="20"/>
          <w:szCs w:val="20"/>
          <w:lang w:eastAsia="zh-CN"/>
        </w:rPr>
        <w:t>f UE detect</w:t>
      </w:r>
      <w:r>
        <w:rPr>
          <w:b/>
          <w:bCs/>
          <w:i/>
          <w:iCs/>
          <w:color w:val="000000"/>
          <w:sz w:val="20"/>
          <w:szCs w:val="20"/>
          <w:lang w:eastAsia="zh-CN"/>
        </w:rPr>
        <w:t>s</w:t>
      </w:r>
      <w:r w:rsidRPr="00733404">
        <w:rPr>
          <w:b/>
          <w:bCs/>
          <w:i/>
          <w:iCs/>
          <w:color w:val="000000"/>
          <w:sz w:val="20"/>
          <w:szCs w:val="20"/>
          <w:lang w:eastAsia="zh-CN"/>
        </w:rPr>
        <w:t xml:space="preserve"> the contention resolution ID in </w:t>
      </w:r>
      <w:r w:rsidR="00513BBB">
        <w:rPr>
          <w:b/>
          <w:bCs/>
          <w:i/>
          <w:iCs/>
          <w:color w:val="000000"/>
          <w:sz w:val="20"/>
          <w:szCs w:val="20"/>
          <w:lang w:eastAsia="zh-CN"/>
        </w:rPr>
        <w:t>Msg</w:t>
      </w:r>
      <w:r w:rsidRPr="00733404">
        <w:rPr>
          <w:b/>
          <w:bCs/>
          <w:i/>
          <w:iCs/>
          <w:color w:val="000000"/>
          <w:sz w:val="20"/>
          <w:szCs w:val="20"/>
          <w:lang w:eastAsia="zh-CN"/>
        </w:rPr>
        <w:t xml:space="preserve">B with common-RNTI, </w:t>
      </w:r>
      <w:r>
        <w:rPr>
          <w:b/>
          <w:bCs/>
          <w:i/>
          <w:iCs/>
          <w:color w:val="000000"/>
          <w:sz w:val="20"/>
          <w:szCs w:val="20"/>
          <w:lang w:eastAsia="zh-CN"/>
        </w:rPr>
        <w:t xml:space="preserve">UE use </w:t>
      </w:r>
      <w:r w:rsidRPr="00417C24">
        <w:rPr>
          <w:b/>
          <w:bCs/>
          <w:i/>
          <w:iCs/>
          <w:sz w:val="20"/>
          <w:szCs w:val="20"/>
          <w:lang w:eastAsia="ja-JP" w:bidi="hi-IN"/>
        </w:rPr>
        <w:t xml:space="preserve">PUCCH resource indicator field and </w:t>
      </w:r>
      <w:r w:rsidRPr="00417C24">
        <w:rPr>
          <w:b/>
          <w:bCs/>
          <w:i/>
          <w:iCs/>
          <w:sz w:val="20"/>
          <w:szCs w:val="20"/>
        </w:rPr>
        <w:t>PDSCH-to-HARQ_feedback timing indicator</w:t>
      </w:r>
      <w:r w:rsidRPr="00417C24">
        <w:rPr>
          <w:b/>
          <w:bCs/>
          <w:i/>
          <w:iCs/>
          <w:sz w:val="20"/>
          <w:szCs w:val="20"/>
          <w:lang w:eastAsia="ja-JP" w:bidi="hi-IN"/>
        </w:rPr>
        <w:t xml:space="preserve"> field in successRAR to determine the resource for PUCCH transmission.</w:t>
      </w:r>
    </w:p>
    <w:p w14:paraId="4CA551A3" w14:textId="2643BED2" w:rsidR="0059679E" w:rsidRPr="001D24AD" w:rsidRDefault="0059679E" w:rsidP="0059679E">
      <w:pPr>
        <w:spacing w:after="120"/>
        <w:jc w:val="both"/>
        <w:rPr>
          <w:b/>
          <w:bCs/>
          <w:i/>
          <w:iCs/>
          <w:sz w:val="20"/>
          <w:szCs w:val="20"/>
        </w:rPr>
      </w:pPr>
      <w:r w:rsidRPr="001D24AD">
        <w:rPr>
          <w:b/>
          <w:bCs/>
          <w:i/>
          <w:iCs/>
          <w:color w:val="000000"/>
          <w:sz w:val="20"/>
          <w:szCs w:val="20"/>
          <w:lang w:eastAsia="zh-CN"/>
        </w:rPr>
        <w:lastRenderedPageBreak/>
        <w:t xml:space="preserve">Proposal 3: Soft combing is only valid for UE that </w:t>
      </w:r>
      <w:r w:rsidR="00513BBB">
        <w:rPr>
          <w:b/>
          <w:bCs/>
          <w:i/>
          <w:iCs/>
          <w:color w:val="000000"/>
          <w:sz w:val="20"/>
          <w:szCs w:val="20"/>
          <w:lang w:eastAsia="zh-CN"/>
        </w:rPr>
        <w:t>Msg</w:t>
      </w:r>
      <w:r w:rsidRPr="001D24AD">
        <w:rPr>
          <w:b/>
          <w:bCs/>
          <w:i/>
          <w:iCs/>
          <w:color w:val="000000"/>
          <w:sz w:val="20"/>
          <w:szCs w:val="20"/>
          <w:lang w:eastAsia="zh-CN"/>
        </w:rPr>
        <w:t>B</w:t>
      </w:r>
      <w:r>
        <w:rPr>
          <w:b/>
          <w:bCs/>
          <w:i/>
          <w:iCs/>
          <w:color w:val="000000"/>
          <w:sz w:val="20"/>
          <w:szCs w:val="20"/>
          <w:lang w:eastAsia="zh-CN"/>
        </w:rPr>
        <w:t xml:space="preserve"> PDCCH</w:t>
      </w:r>
      <w:r w:rsidRPr="001D24AD">
        <w:rPr>
          <w:b/>
          <w:bCs/>
          <w:i/>
          <w:iCs/>
          <w:color w:val="000000"/>
          <w:sz w:val="20"/>
          <w:szCs w:val="20"/>
          <w:lang w:eastAsia="zh-CN"/>
        </w:rPr>
        <w:t xml:space="preserve"> is addressed by C-RNTI, otherwise the soft combing is not supported.</w:t>
      </w:r>
    </w:p>
    <w:p w14:paraId="2A5B67A6" w14:textId="77777777" w:rsidR="0059679E" w:rsidRDefault="0059679E" w:rsidP="0059679E">
      <w:pPr>
        <w:pStyle w:val="0Maintext"/>
        <w:spacing w:after="120" w:afterAutospacing="0" w:line="240" w:lineRule="auto"/>
        <w:ind w:firstLine="0"/>
        <w:rPr>
          <w:rFonts w:eastAsia="SimSun" w:cs="Times New Roman"/>
          <w:b/>
          <w:bCs/>
          <w:i/>
          <w:iCs/>
          <w:color w:val="000000" w:themeColor="text1"/>
        </w:rPr>
      </w:pPr>
      <w:r w:rsidRPr="001D358F">
        <w:rPr>
          <w:b/>
          <w:bCs/>
          <w:i/>
          <w:iCs/>
          <w:lang w:val="en-US"/>
        </w:rPr>
        <w:t xml:space="preserve">Proposal </w:t>
      </w:r>
      <w:r>
        <w:rPr>
          <w:b/>
          <w:bCs/>
          <w:i/>
          <w:iCs/>
          <w:lang w:val="en-US"/>
        </w:rPr>
        <w:t>4</w:t>
      </w:r>
      <w:r w:rsidRPr="001D358F">
        <w:rPr>
          <w:b/>
          <w:bCs/>
          <w:i/>
          <w:iCs/>
          <w:lang w:val="en-US"/>
        </w:rPr>
        <w:t xml:space="preserve">: </w:t>
      </w:r>
      <w:r w:rsidRPr="007073DF">
        <w:rPr>
          <w:rFonts w:eastAsia="SimSun" w:cs="Times New Roman"/>
          <w:b/>
          <w:bCs/>
          <w:i/>
          <w:iCs/>
          <w:color w:val="000000" w:themeColor="text1"/>
        </w:rPr>
        <w:t>support the same power ramp up for MsgA PRACH and MsgA PUSCH, including the</w:t>
      </w:r>
      <w:r>
        <w:rPr>
          <w:rFonts w:eastAsia="SimSun" w:cs="Times New Roman"/>
          <w:b/>
          <w:bCs/>
          <w:i/>
          <w:iCs/>
          <w:color w:val="000000" w:themeColor="text1"/>
        </w:rPr>
        <w:t xml:space="preserve"> same both</w:t>
      </w:r>
      <w:r w:rsidRPr="007073DF">
        <w:rPr>
          <w:rFonts w:eastAsia="SimSun" w:cs="Times New Roman"/>
          <w:b/>
          <w:bCs/>
          <w:i/>
          <w:iCs/>
          <w:color w:val="000000" w:themeColor="text1"/>
        </w:rPr>
        <w:t xml:space="preserve"> power ramping counter and power ramping step</w:t>
      </w:r>
      <w:r>
        <w:rPr>
          <w:rFonts w:eastAsia="SimSun" w:cs="Times New Roman"/>
          <w:b/>
          <w:bCs/>
          <w:i/>
          <w:iCs/>
          <w:color w:val="000000" w:themeColor="text1"/>
        </w:rPr>
        <w:t>.</w:t>
      </w:r>
    </w:p>
    <w:p w14:paraId="2CCA9E06" w14:textId="77777777" w:rsidR="0059679E" w:rsidRDefault="0059679E" w:rsidP="0059679E">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741D1D79" w14:textId="77777777" w:rsidR="0059679E" w:rsidRPr="00B1090C" w:rsidRDefault="0059679E" w:rsidP="0059679E">
      <w:pPr>
        <w:pStyle w:val="0Maintext"/>
        <w:numPr>
          <w:ilvl w:val="0"/>
          <w:numId w:val="21"/>
        </w:numPr>
        <w:spacing w:after="120" w:afterAutospacing="0" w:line="240" w:lineRule="auto"/>
        <w:rPr>
          <w:rFonts w:eastAsiaTheme="minorHAnsi" w:cs="Times New Roman"/>
          <w:b/>
          <w:bCs/>
          <w:i/>
          <w:iCs/>
        </w:rPr>
      </w:pPr>
      <w:r w:rsidRPr="00B1090C">
        <w:rPr>
          <w:rFonts w:eastAsiaTheme="minorHAnsi" w:cs="Times New Roman"/>
          <w:b/>
          <w:bCs/>
          <w:i/>
          <w:iCs/>
        </w:rPr>
        <w:t xml:space="preserve">The power component from the transport format </w:t>
      </w:r>
      <m:oMath>
        <m:sSub>
          <m:sSubPr>
            <m:ctrlPr>
              <w:rPr>
                <w:rFonts w:ascii="Cambria Math" w:hAnsi="Cambria Math" w:cs="Times New Roman"/>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cs="Times New Roman"/>
                <w:b/>
                <w:bCs/>
                <w:i/>
                <w:iCs/>
              </w:rPr>
            </m:ctrlPr>
          </m:dPr>
          <m:e>
            <m:r>
              <m:rPr>
                <m:sty m:val="bi"/>
              </m:rPr>
              <w:rPr>
                <w:rFonts w:ascii="Cambria Math" w:hAnsi="Cambria Math" w:cs="Times New Roman"/>
              </w:rPr>
              <m:t>i</m:t>
            </m:r>
          </m:e>
        </m:d>
      </m:oMath>
      <w:r w:rsidRPr="00B1090C">
        <w:rPr>
          <w:rFonts w:eastAsiaTheme="minorHAnsi" w:cs="Times New Roman"/>
          <w:b/>
          <w:bCs/>
          <w:i/>
          <w:iCs/>
        </w:rPr>
        <w:t xml:space="preserve"> is determined based on the same mechanism and the same parameter deltaMCS of Rel-15 Msg3 for the current transmission instance.</w:t>
      </w:r>
    </w:p>
    <w:p w14:paraId="1C00AE3C" w14:textId="77777777" w:rsidR="0059679E" w:rsidRPr="00B1090C" w:rsidRDefault="0059679E" w:rsidP="0059679E">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7A962A94" w14:textId="77777777" w:rsidR="0059679E" w:rsidRPr="00B34476" w:rsidRDefault="0059679E" w:rsidP="0059679E">
      <w:pPr>
        <w:tabs>
          <w:tab w:val="left" w:pos="1900"/>
          <w:tab w:val="left" w:pos="2637"/>
        </w:tabs>
        <w:autoSpaceDE w:val="0"/>
        <w:autoSpaceDN w:val="0"/>
        <w:adjustRightInd w:val="0"/>
        <w:spacing w:after="120" w:line="216" w:lineRule="atLeast"/>
        <w:rPr>
          <w:rFonts w:eastAsia="SimSun"/>
          <w:b/>
          <w:bCs/>
          <w:i/>
          <w:iCs/>
          <w:color w:val="000D28"/>
          <w:sz w:val="20"/>
          <w:szCs w:val="20"/>
        </w:rPr>
      </w:pPr>
      <w:r w:rsidRPr="00B34476">
        <w:rPr>
          <w:rFonts w:eastAsia="SimSun"/>
          <w:b/>
          <w:bCs/>
          <w:i/>
          <w:iCs/>
          <w:color w:val="000D28"/>
          <w:sz w:val="20"/>
          <w:szCs w:val="20"/>
        </w:rPr>
        <w:t xml:space="preserve">Proposal </w:t>
      </w:r>
      <w:r>
        <w:rPr>
          <w:rFonts w:eastAsia="SimSun"/>
          <w:b/>
          <w:bCs/>
          <w:i/>
          <w:iCs/>
          <w:color w:val="000D28"/>
          <w:sz w:val="20"/>
          <w:szCs w:val="20"/>
        </w:rPr>
        <w:t>7</w:t>
      </w:r>
      <w:r w:rsidRPr="00B34476">
        <w:rPr>
          <w:rFonts w:eastAsia="SimSun"/>
          <w:b/>
          <w:bCs/>
          <w:i/>
          <w:iCs/>
          <w:color w:val="000D28"/>
          <w:sz w:val="20"/>
          <w:szCs w:val="20"/>
        </w:rPr>
        <w:t>:</w:t>
      </w:r>
      <w:r>
        <w:rPr>
          <w:rFonts w:eastAsia="SimSun"/>
          <w:b/>
          <w:bCs/>
          <w:i/>
          <w:iCs/>
          <w:color w:val="000D28"/>
          <w:sz w:val="20"/>
          <w:szCs w:val="20"/>
        </w:rPr>
        <w:t xml:space="preserve"> Regarding</w:t>
      </w:r>
      <w:r w:rsidRPr="00B34476">
        <w:rPr>
          <w:rFonts w:eastAsia="SimSun"/>
          <w:b/>
          <w:bCs/>
          <w:i/>
          <w:iCs/>
          <w:color w:val="000D28"/>
          <w:sz w:val="20"/>
          <w:szCs w:val="20"/>
        </w:rPr>
        <w:t xml:space="preserve"> RACH preamble power control</w:t>
      </w:r>
      <w:r>
        <w:rPr>
          <w:rFonts w:eastAsia="SimSun"/>
          <w:b/>
          <w:bCs/>
          <w:i/>
          <w:iCs/>
          <w:color w:val="000D28"/>
          <w:sz w:val="20"/>
          <w:szCs w:val="20"/>
        </w:rPr>
        <w:t xml:space="preserve">, </w:t>
      </w:r>
      <w:r w:rsidRPr="00B34476">
        <w:rPr>
          <w:rFonts w:eastAsia="SimSun"/>
          <w:b/>
          <w:bCs/>
          <w:i/>
          <w:iCs/>
          <w:color w:val="000D28"/>
          <w:sz w:val="20"/>
          <w:szCs w:val="20"/>
        </w:rPr>
        <w:t>for both shared ROs and separated ROs, the preamble power control parameter preambleRecievedTargetPower is the same as 4-step RACH, the parameter powerRampingStep is separately configured.</w:t>
      </w:r>
    </w:p>
    <w:p w14:paraId="508EDE47" w14:textId="1EEE1D13" w:rsidR="00E12172" w:rsidRPr="0059679E" w:rsidRDefault="0059679E" w:rsidP="0059679E">
      <w:pPr>
        <w:pStyle w:val="0Maintext"/>
        <w:spacing w:after="120" w:afterAutospacing="0" w:line="240" w:lineRule="auto"/>
        <w:ind w:firstLine="0"/>
        <w:rPr>
          <w:b/>
          <w:bCs/>
          <w:i/>
          <w:iCs/>
          <w:lang w:val="en-US"/>
        </w:rPr>
      </w:pPr>
      <w:r w:rsidRPr="001D358F">
        <w:rPr>
          <w:b/>
          <w:bCs/>
          <w:i/>
          <w:iCs/>
          <w:lang w:val="en-US"/>
        </w:rPr>
        <w:t xml:space="preserve">Proposal </w:t>
      </w:r>
      <w:r>
        <w:rPr>
          <w:b/>
          <w:bCs/>
          <w:i/>
          <w:iCs/>
          <w:lang w:val="en-US"/>
        </w:rPr>
        <w:t>8</w:t>
      </w:r>
      <w:r w:rsidRPr="001D358F">
        <w:rPr>
          <w:b/>
          <w:bCs/>
          <w:i/>
          <w:iCs/>
          <w:lang w:val="en-US"/>
        </w:rPr>
        <w:t>: For priority rule on power deduction, Msg</w:t>
      </w:r>
      <w:r>
        <w:rPr>
          <w:b/>
          <w:bCs/>
          <w:i/>
          <w:iCs/>
          <w:lang w:val="en-US"/>
        </w:rPr>
        <w:t>A PUSCH</w:t>
      </w:r>
      <w:r w:rsidRPr="001D358F">
        <w:rPr>
          <w:b/>
          <w:bCs/>
          <w:i/>
          <w:iCs/>
          <w:lang w:val="en-US"/>
        </w:rPr>
        <w:t xml:space="preserve"> should share the same priority as PRACH transmission on PCell.</w:t>
      </w:r>
    </w:p>
    <w:p w14:paraId="47BA569A" w14:textId="77777777" w:rsidR="0017048A" w:rsidRPr="00342BBF" w:rsidRDefault="0017048A" w:rsidP="00342BBF">
      <w:pPr>
        <w:pStyle w:val="Heading1"/>
      </w:pPr>
      <w:r w:rsidRPr="00342BBF">
        <w:t>References</w:t>
      </w:r>
    </w:p>
    <w:p w14:paraId="1C9A9AA8" w14:textId="59C4A37A" w:rsidR="001E15B3" w:rsidRPr="001E15B3" w:rsidRDefault="00113B2F" w:rsidP="001E15B3">
      <w:pPr>
        <w:widowControl w:val="0"/>
        <w:numPr>
          <w:ilvl w:val="0"/>
          <w:numId w:val="5"/>
        </w:numPr>
        <w:jc w:val="both"/>
        <w:rPr>
          <w:sz w:val="20"/>
          <w:szCs w:val="20"/>
        </w:rPr>
      </w:pPr>
      <w:bookmarkStart w:id="5" w:name="_Ref4513308"/>
      <w:r>
        <w:rPr>
          <w:sz w:val="20"/>
          <w:szCs w:val="20"/>
        </w:rPr>
        <w:t>R1-1907973,</w:t>
      </w:r>
      <w:r w:rsidRPr="00113B2F">
        <w:rPr>
          <w:sz w:val="20"/>
          <w:szCs w:val="20"/>
        </w:rPr>
        <w:t xml:space="preserve"> </w:t>
      </w:r>
      <w:r w:rsidRPr="007049A6">
        <w:rPr>
          <w:sz w:val="20"/>
          <w:szCs w:val="20"/>
        </w:rPr>
        <w:t>“Report of RAN1#9</w:t>
      </w:r>
      <w:r>
        <w:rPr>
          <w:sz w:val="20"/>
          <w:szCs w:val="20"/>
        </w:rPr>
        <w:t>7</w:t>
      </w:r>
      <w:r w:rsidRPr="007049A6">
        <w:rPr>
          <w:sz w:val="20"/>
          <w:szCs w:val="20"/>
        </w:rPr>
        <w:t xml:space="preserve"> meeting”, ETSI MCC, RAN1#9</w:t>
      </w:r>
      <w:r w:rsidR="00B23E0E">
        <w:rPr>
          <w:sz w:val="20"/>
          <w:szCs w:val="20"/>
        </w:rPr>
        <w:t>8</w:t>
      </w:r>
      <w:r w:rsidR="00B23E0E" w:rsidRPr="00B23E0E">
        <w:rPr>
          <w:sz w:val="20"/>
        </w:rPr>
        <w:t xml:space="preserve"> </w:t>
      </w:r>
      <w:r w:rsidR="00B23E0E">
        <w:rPr>
          <w:sz w:val="20"/>
        </w:rPr>
        <w:t>Reno, USA, 13</w:t>
      </w:r>
      <w:r w:rsidR="00B23E0E" w:rsidRPr="0003242A">
        <w:rPr>
          <w:sz w:val="20"/>
          <w:vertAlign w:val="superscript"/>
        </w:rPr>
        <w:t>th</w:t>
      </w:r>
      <w:r w:rsidR="00B23E0E">
        <w:rPr>
          <w:sz w:val="20"/>
        </w:rPr>
        <w:t xml:space="preserve"> – 17</w:t>
      </w:r>
      <w:r w:rsidR="00B23E0E" w:rsidRPr="0003242A">
        <w:rPr>
          <w:sz w:val="20"/>
          <w:vertAlign w:val="superscript"/>
        </w:rPr>
        <w:t>th</w:t>
      </w:r>
      <w:r w:rsidR="00B23E0E">
        <w:rPr>
          <w:sz w:val="20"/>
        </w:rPr>
        <w:t xml:space="preserve"> May 2019</w:t>
      </w:r>
    </w:p>
    <w:p w14:paraId="75CA90CC" w14:textId="77777777" w:rsidR="001E15B3" w:rsidRDefault="001E15B3" w:rsidP="001E15B3">
      <w:pPr>
        <w:widowControl w:val="0"/>
        <w:numPr>
          <w:ilvl w:val="0"/>
          <w:numId w:val="5"/>
        </w:numPr>
        <w:jc w:val="both"/>
        <w:rPr>
          <w:sz w:val="20"/>
          <w:szCs w:val="20"/>
        </w:rPr>
      </w:pPr>
      <w:r w:rsidRPr="00113B2F">
        <w:rPr>
          <w:sz w:val="20"/>
          <w:szCs w:val="20"/>
        </w:rPr>
        <w:t>R2-1911</w:t>
      </w:r>
      <w:r w:rsidRPr="00113B2F">
        <w:rPr>
          <w:rFonts w:hint="eastAsia"/>
          <w:sz w:val="20"/>
          <w:szCs w:val="20"/>
        </w:rPr>
        <w:t>776</w:t>
      </w:r>
      <w:r w:rsidRPr="00113B2F">
        <w:rPr>
          <w:sz w:val="20"/>
          <w:szCs w:val="20"/>
        </w:rPr>
        <w:t xml:space="preserve">, “LS to RAN1 on RAN2 agreements related to 2-step RACH”, CATT, RAN2#107, </w:t>
      </w:r>
      <w:r w:rsidRPr="007049A6">
        <w:rPr>
          <w:sz w:val="20"/>
          <w:szCs w:val="20"/>
        </w:rPr>
        <w:t>Prague, Czech Republic, August 26-30, 2019</w:t>
      </w:r>
    </w:p>
    <w:p w14:paraId="1A6AA688" w14:textId="67C06944" w:rsidR="001E15B3" w:rsidRDefault="001E15B3" w:rsidP="001E15B3">
      <w:pPr>
        <w:widowControl w:val="0"/>
        <w:ind w:left="420"/>
        <w:jc w:val="both"/>
        <w:rPr>
          <w:sz w:val="20"/>
          <w:szCs w:val="20"/>
        </w:rPr>
      </w:pPr>
    </w:p>
    <w:bookmarkEnd w:id="5"/>
    <w:p w14:paraId="57DBC051" w14:textId="77777777" w:rsidR="002E2493" w:rsidRDefault="002E2493" w:rsidP="0059679E">
      <w:pPr>
        <w:widowControl w:val="0"/>
        <w:jc w:val="both"/>
        <w:rPr>
          <w:sz w:val="20"/>
          <w:szCs w:val="20"/>
        </w:rPr>
      </w:pPr>
    </w:p>
    <w:sectPr w:rsidR="002E249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027B7" w14:textId="77777777" w:rsidR="005F6669" w:rsidRDefault="005F6669">
      <w:r>
        <w:separator/>
      </w:r>
    </w:p>
  </w:endnote>
  <w:endnote w:type="continuationSeparator" w:id="0">
    <w:p w14:paraId="71627D99" w14:textId="77777777" w:rsidR="005F6669" w:rsidRDefault="005F6669">
      <w:r>
        <w:continuationSeparator/>
      </w:r>
    </w:p>
  </w:endnote>
  <w:endnote w:type="continuationNotice" w:id="1">
    <w:p w14:paraId="492ECF5B" w14:textId="77777777" w:rsidR="005F6669" w:rsidRDefault="005F6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DC25DB" w:rsidRDefault="00DC25D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DC25DB" w:rsidRDefault="00DC25D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DC25DB" w:rsidRPr="00DB1239" w:rsidRDefault="00DC25D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4E8B" w14:textId="77777777" w:rsidR="005F6669" w:rsidRDefault="005F6669">
      <w:r>
        <w:separator/>
      </w:r>
    </w:p>
  </w:footnote>
  <w:footnote w:type="continuationSeparator" w:id="0">
    <w:p w14:paraId="5BC0A73F" w14:textId="77777777" w:rsidR="005F6669" w:rsidRDefault="005F6669">
      <w:r>
        <w:continuationSeparator/>
      </w:r>
    </w:p>
  </w:footnote>
  <w:footnote w:type="continuationNotice" w:id="1">
    <w:p w14:paraId="24327F8C" w14:textId="77777777" w:rsidR="005F6669" w:rsidRDefault="005F66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DC25DB" w:rsidRDefault="00DC25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3" w15:restartNumberingAfterBreak="0">
    <w:nsid w:val="38043135"/>
    <w:multiLevelType w:val="hybridMultilevel"/>
    <w:tmpl w:val="720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F6290B"/>
    <w:multiLevelType w:val="hybridMultilevel"/>
    <w:tmpl w:val="98186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0"/>
  </w:num>
  <w:num w:numId="2">
    <w:abstractNumId w:val="9"/>
  </w:num>
  <w:num w:numId="3">
    <w:abstractNumId w:val="11"/>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7"/>
  </w:num>
  <w:num w:numId="8">
    <w:abstractNumId w:val="5"/>
  </w:num>
  <w:num w:numId="9">
    <w:abstractNumId w:val="15"/>
  </w:num>
  <w:num w:numId="10">
    <w:abstractNumId w:val="2"/>
  </w:num>
  <w:num w:numId="11">
    <w:abstractNumId w:val="3"/>
  </w:num>
  <w:num w:numId="12">
    <w:abstractNumId w:val="12"/>
  </w:num>
  <w:num w:numId="13">
    <w:abstractNumId w:val="13"/>
  </w:num>
  <w:num w:numId="14">
    <w:abstractNumId w:val="8"/>
  </w:num>
  <w:num w:numId="15">
    <w:abstractNumId w:val="0"/>
  </w:num>
  <w:num w:numId="16">
    <w:abstractNumId w:val="18"/>
  </w:num>
  <w:num w:numId="17">
    <w:abstractNumId w:val="19"/>
  </w:num>
  <w:num w:numId="18">
    <w:abstractNumId w:val="6"/>
  </w:num>
  <w:num w:numId="19">
    <w:abstractNumId w:val="14"/>
  </w:num>
  <w:num w:numId="20">
    <w:abstractNumId w:val="4"/>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DA2"/>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35"/>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19"/>
      </w:numPr>
      <w:tabs>
        <w:tab w:val="left" w:pos="1701"/>
      </w:tabs>
    </w:pPr>
    <w:rPr>
      <w:rFonts w:ascii="Arial" w:eastAsiaTheme="minorEastAsia" w:hAnsi="Arial" w:cstheme="minorBidi"/>
      <w:b/>
      <w:bCs/>
      <w:lang w:eastAsia="zh-CN"/>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EEF536AC-9253-944F-A70E-55FB4875935D}">
  <ds:schemaRefs>
    <ds:schemaRef ds:uri="http://schemas.openxmlformats.org/officeDocument/2006/bibliography"/>
  </ds:schemaRefs>
</ds:datastoreItem>
</file>

<file path=customXml/itemProps4.xml><?xml version="1.0" encoding="utf-8"?>
<ds:datastoreItem xmlns:ds="http://schemas.openxmlformats.org/officeDocument/2006/customXml" ds:itemID="{CF7C489D-3F93-9342-B252-C7D959A1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3440</TotalTime>
  <Pages>5</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219</cp:revision>
  <cp:lastPrinted>2019-09-25T06:54:00Z</cp:lastPrinted>
  <dcterms:created xsi:type="dcterms:W3CDTF">2018-09-02T16:33:00Z</dcterms:created>
  <dcterms:modified xsi:type="dcterms:W3CDTF">2019-10-04T09:03:00Z</dcterms:modified>
  <cp:category/>
</cp:coreProperties>
</file>